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36"/>
          <w:szCs w:val="44"/>
        </w:rPr>
        <w:t>【首都机场</w:t>
      </w:r>
      <w:r>
        <w:rPr>
          <w:rFonts w:asciiTheme="majorEastAsia" w:hAnsiTheme="majorEastAsia" w:eastAsiaTheme="majorEastAsia"/>
          <w:sz w:val="36"/>
          <w:szCs w:val="44"/>
        </w:rPr>
        <w:t>集团</w:t>
      </w:r>
      <w:r>
        <w:rPr>
          <w:rFonts w:hint="eastAsia" w:asciiTheme="majorEastAsia" w:hAnsiTheme="majorEastAsia" w:eastAsiaTheme="majorEastAsia"/>
          <w:sz w:val="36"/>
          <w:szCs w:val="44"/>
        </w:rPr>
        <w:t>—北京</w:t>
      </w:r>
      <w:r>
        <w:rPr>
          <w:rFonts w:asciiTheme="majorEastAsia" w:hAnsiTheme="majorEastAsia" w:eastAsiaTheme="majorEastAsia"/>
          <w:sz w:val="36"/>
          <w:szCs w:val="44"/>
        </w:rPr>
        <w:t>博维航空设施管理有限公司</w:t>
      </w:r>
      <w:r>
        <w:rPr>
          <w:rFonts w:hint="eastAsia" w:asciiTheme="majorEastAsia" w:hAnsiTheme="majorEastAsia" w:eastAsiaTheme="majorEastAsia"/>
          <w:sz w:val="36"/>
          <w:szCs w:val="44"/>
        </w:rPr>
        <w:t>】</w:t>
      </w:r>
      <w:r>
        <w:rPr>
          <w:rFonts w:hint="eastAsia" w:asciiTheme="majorEastAsia" w:hAnsiTheme="majorEastAsia" w:eastAsiaTheme="majorEastAsia"/>
          <w:sz w:val="40"/>
          <w:szCs w:val="44"/>
        </w:rPr>
        <w:t>2017校园招聘开始啦！</w:t>
      </w:r>
    </w:p>
    <w:p>
      <w:pPr>
        <w:spacing w:line="360" w:lineRule="auto"/>
        <w:jc w:val="both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16"/>
        <w:spacing w:line="360" w:lineRule="auto"/>
        <w:ind w:left="0" w:leftChars="0" w:firstLine="0" w:firstLineChars="0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关于我们</w:t>
      </w:r>
    </w:p>
    <w:p>
      <w:pPr>
        <w:pStyle w:val="16"/>
        <w:spacing w:line="360" w:lineRule="auto"/>
        <w:ind w:firstLine="48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机场运维的象征 员工成长的家园文化主旨—天地之道</w:t>
      </w:r>
      <w:r>
        <w:rPr>
          <w:rFonts w:asciiTheme="majorEastAsia" w:hAnsiTheme="majorEastAsia" w:eastAsiaTheme="majorEastAsia"/>
          <w:sz w:val="24"/>
          <w:szCs w:val="24"/>
        </w:rPr>
        <w:t>，</w:t>
      </w:r>
      <w:r>
        <w:rPr>
          <w:rFonts w:hint="eastAsia" w:asciiTheme="majorEastAsia" w:hAnsiTheme="majorEastAsia" w:eastAsiaTheme="majorEastAsia"/>
          <w:sz w:val="24"/>
          <w:szCs w:val="24"/>
        </w:rPr>
        <w:t>大国</w:t>
      </w:r>
      <w:r>
        <w:rPr>
          <w:rFonts w:asciiTheme="majorEastAsia" w:hAnsiTheme="majorEastAsia" w:eastAsiaTheme="majorEastAsia"/>
          <w:sz w:val="24"/>
          <w:szCs w:val="24"/>
        </w:rPr>
        <w:t>之门</w:t>
      </w:r>
    </w:p>
    <w:p>
      <w:pPr>
        <w:pStyle w:val="16"/>
        <w:spacing w:line="360" w:lineRule="auto"/>
        <w:ind w:firstLine="48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企业愿景</w:t>
      </w:r>
      <w:r>
        <w:rPr>
          <w:rFonts w:asciiTheme="majorEastAsia" w:hAnsiTheme="majorEastAsia" w:eastAsiaTheme="majorEastAsia"/>
          <w:sz w:val="24"/>
          <w:szCs w:val="24"/>
        </w:rPr>
        <w:t>—</w:t>
      </w:r>
      <w:r>
        <w:rPr>
          <w:rFonts w:hint="eastAsia" w:asciiTheme="majorEastAsia" w:hAnsiTheme="majorEastAsia" w:eastAsiaTheme="majorEastAsia"/>
          <w:sz w:val="24"/>
          <w:szCs w:val="24"/>
        </w:rPr>
        <w:t>机场</w:t>
      </w:r>
      <w:r>
        <w:rPr>
          <w:rFonts w:asciiTheme="majorEastAsia" w:hAnsiTheme="majorEastAsia" w:eastAsiaTheme="majorEastAsia"/>
          <w:sz w:val="24"/>
          <w:szCs w:val="24"/>
        </w:rPr>
        <w:t>运维象征，员工成长之家</w:t>
      </w:r>
    </w:p>
    <w:p>
      <w:pPr>
        <w:pStyle w:val="16"/>
        <w:spacing w:line="360" w:lineRule="auto"/>
        <w:ind w:firstLine="48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企业</w:t>
      </w:r>
      <w:r>
        <w:rPr>
          <w:rFonts w:asciiTheme="majorEastAsia" w:hAnsiTheme="majorEastAsia" w:eastAsiaTheme="majorEastAsia"/>
          <w:sz w:val="24"/>
          <w:szCs w:val="24"/>
        </w:rPr>
        <w:t>使命</w:t>
      </w:r>
      <w:r>
        <w:rPr>
          <w:rFonts w:hint="eastAsia" w:asciiTheme="majorEastAsia" w:hAnsiTheme="majorEastAsia" w:eastAsiaTheme="majorEastAsia"/>
          <w:sz w:val="24"/>
          <w:szCs w:val="24"/>
        </w:rPr>
        <w:t>—机场</w:t>
      </w:r>
      <w:r>
        <w:rPr>
          <w:rFonts w:asciiTheme="majorEastAsia" w:hAnsiTheme="majorEastAsia" w:eastAsiaTheme="majorEastAsia"/>
          <w:sz w:val="24"/>
          <w:szCs w:val="24"/>
        </w:rPr>
        <w:t>设备运维卓越服务的保障者与创造者</w:t>
      </w:r>
    </w:p>
    <w:p>
      <w:pPr>
        <w:pStyle w:val="16"/>
        <w:spacing w:line="360" w:lineRule="auto"/>
        <w:ind w:firstLine="480" w:firstLineChars="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核心</w:t>
      </w:r>
      <w:r>
        <w:rPr>
          <w:rFonts w:asciiTheme="majorEastAsia" w:hAnsiTheme="majorEastAsia" w:eastAsiaTheme="majorEastAsia"/>
          <w:sz w:val="24"/>
          <w:szCs w:val="24"/>
        </w:rPr>
        <w:t>价值观—</w:t>
      </w:r>
      <w:r>
        <w:rPr>
          <w:rFonts w:hint="eastAsia" w:asciiTheme="majorEastAsia" w:hAnsiTheme="majorEastAsia" w:eastAsiaTheme="majorEastAsia"/>
          <w:sz w:val="24"/>
          <w:szCs w:val="24"/>
        </w:rPr>
        <w:t>诚效</w:t>
      </w:r>
      <w:r>
        <w:rPr>
          <w:rFonts w:asciiTheme="majorEastAsia" w:hAnsiTheme="majorEastAsia" w:eastAsiaTheme="majorEastAsia"/>
          <w:sz w:val="24"/>
          <w:szCs w:val="24"/>
        </w:rPr>
        <w:t>知行，和谐共赢</w:t>
      </w:r>
    </w:p>
    <w:p>
      <w:pPr>
        <w:pStyle w:val="16"/>
        <w:spacing w:line="360" w:lineRule="auto"/>
        <w:ind w:firstLine="480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pStyle w:val="16"/>
        <w:spacing w:line="360" w:lineRule="auto"/>
        <w:ind w:firstLine="48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北京博维航空设施管理有限公司于1999年11月18日成立，隶属首都机场集团公司，是国内第一家以运行维修维保机场设备、承接机场专业工程为主的专业化公司。涵盖行李、捷运、客桥、机电、信息五大核心运维业务及特种车辆维修、行李系统安装大修、客桥大修等。</w:t>
      </w:r>
    </w:p>
    <w:p>
      <w:pPr>
        <w:pStyle w:val="16"/>
        <w:spacing w:line="360" w:lineRule="auto"/>
        <w:ind w:firstLine="48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在首都机场集团公司的正确领导及大力支持下，公司着力推进管理精细化、运行精益化和服务品牌化。</w:t>
      </w:r>
    </w:p>
    <w:p>
      <w:pPr>
        <w:pStyle w:val="16"/>
        <w:spacing w:line="360" w:lineRule="auto"/>
        <w:ind w:firstLine="480"/>
        <w:rPr>
          <w:rFonts w:cs="华文中宋" w:asciiTheme="majorEastAsia" w:hAnsiTheme="majorEastAsia" w:eastAsiaTheme="majorEastAsia"/>
          <w:kern w:val="0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2017年是京津冀协同发展的深化年、新机场建设的攻坚年，博维公司将继续坚守安全底线，坚持品质发展，全面推进物联网应用，强化科技创新，打造智能运维，助推“十三五”规划落地。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招聘条件与岗位</w:t>
      </w:r>
      <w:r>
        <w:rPr>
          <w:rFonts w:asciiTheme="majorEastAsia" w:hAnsiTheme="majorEastAsia" w:eastAsiaTheme="majorEastAsia"/>
          <w:b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拼博</w:t>
      </w:r>
      <w:r>
        <w:rPr>
          <w:rFonts w:asciiTheme="majorEastAsia" w:hAnsiTheme="majorEastAsia" w:eastAsiaTheme="majorEastAsia"/>
          <w:b/>
          <w:sz w:val="24"/>
          <w:szCs w:val="24"/>
        </w:rPr>
        <w:t>你的维来）</w:t>
      </w:r>
    </w:p>
    <w:tbl>
      <w:tblPr>
        <w:tblStyle w:val="15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17"/>
        <w:gridCol w:w="3833"/>
        <w:gridCol w:w="180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序号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岗位</w:t>
            </w:r>
            <w:r>
              <w:rPr>
                <w:rFonts w:asciiTheme="minorEastAsia" w:hAnsiTheme="minorEastAsia"/>
                <w:b/>
                <w:sz w:val="24"/>
              </w:rPr>
              <w:t>名称</w:t>
            </w:r>
          </w:p>
        </w:tc>
        <w:tc>
          <w:tcPr>
            <w:tcW w:w="38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专业</w:t>
            </w:r>
            <w:r>
              <w:rPr>
                <w:rFonts w:asciiTheme="minorEastAsia" w:hAnsiTheme="minorEastAsia"/>
                <w:b/>
                <w:sz w:val="24"/>
              </w:rPr>
              <w:t>要求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行李技术员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机械、电子信息类等相关专业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2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捷运中控室技术员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电子信息类等相关专业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3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客桥技术员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机械、电子信息类等相关专业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4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信息技术员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电子信息类等相关专业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5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机电技术员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机械、电子信息类等相关专业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6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助理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（工商管理类）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人力资源、采购管理、质量管理、市场营销、工商管理相关专业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7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助理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（经济学类）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统计学、经济与贸易、财务管理、会计学、金融学相关专业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8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助理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（法学类）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法学等相关专业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9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助理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（外国语言文学类）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英语类相关专业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</w:t>
            </w:r>
            <w:r>
              <w:rPr>
                <w:rFonts w:asciiTheme="minorEastAsia" w:hAnsiTheme="minorEastAsia"/>
                <w:b/>
                <w:sz w:val="24"/>
              </w:rPr>
              <w:t>0</w:t>
            </w:r>
          </w:p>
        </w:tc>
        <w:tc>
          <w:tcPr>
            <w:tcW w:w="21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助理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（新闻传播学类）</w:t>
            </w:r>
          </w:p>
        </w:tc>
        <w:tc>
          <w:tcPr>
            <w:tcW w:w="383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新闻传播类等相关专业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学历</w:t>
            </w:r>
            <w:r>
              <w:rPr>
                <w:rFonts w:asciiTheme="minorEastAsia" w:hAnsiTheme="minorEastAsia"/>
                <w:sz w:val="24"/>
              </w:rPr>
              <w:t>要求：</w:t>
            </w:r>
            <w:r>
              <w:rPr>
                <w:rFonts w:hint="eastAsia" w:asciiTheme="minorEastAsia" w:hAnsiTheme="minorEastAsia"/>
                <w:sz w:val="24"/>
              </w:rPr>
              <w:t>2017年应届毕业生，本科</w:t>
            </w:r>
            <w:r>
              <w:rPr>
                <w:rFonts w:asciiTheme="minorEastAsia" w:hAnsiTheme="minorEastAsia"/>
                <w:sz w:val="24"/>
              </w:rPr>
              <w:t>及以上学历、学位；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外语水平：CET-4（具备CET-6、专业英语八级及第二外语者优先）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其他要求：</w:t>
            </w:r>
            <w:r>
              <w:rPr>
                <w:rFonts w:hint="eastAsia" w:asciiTheme="minorEastAsia" w:hAnsiTheme="minorEastAsia"/>
                <w:sz w:val="24"/>
              </w:rPr>
              <w:t>有良好的语言表达能力、书写能力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、组织沟通能力</w:t>
            </w:r>
            <w:r>
              <w:rPr>
                <w:rFonts w:hint="eastAsia" w:asciiTheme="minorEastAsia" w:hAnsiTheme="minorEastAsia"/>
                <w:sz w:val="24"/>
              </w:rPr>
              <w:t>，熟练使用办公软件。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薪资：面议</w:t>
            </w:r>
          </w:p>
        </w:tc>
      </w:tr>
    </w:tbl>
    <w:p>
      <w:pPr>
        <w:spacing w:line="360" w:lineRule="auto"/>
        <w:ind w:firstLine="495"/>
        <w:jc w:val="left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ind w:firstLine="495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招聘</w:t>
      </w:r>
      <w:r>
        <w:rPr>
          <w:rFonts w:asciiTheme="majorEastAsia" w:hAnsiTheme="majorEastAsia" w:eastAsiaTheme="majorEastAsia"/>
          <w:b/>
          <w:sz w:val="24"/>
        </w:rPr>
        <w:t>流程</w:t>
      </w:r>
      <w:r>
        <w:rPr>
          <w:rFonts w:hint="eastAsia" w:asciiTheme="majorEastAsia" w:hAnsiTheme="majorEastAsia" w:eastAsiaTheme="majorEastAsia"/>
          <w:b/>
          <w:sz w:val="24"/>
        </w:rPr>
        <w:t>介绍</w:t>
      </w:r>
      <w:r>
        <w:rPr>
          <w:rFonts w:hint="eastAsia" w:asciiTheme="majorEastAsia" w:hAnsiTheme="majorEastAsia" w:eastAsiaTheme="majorEastAsia"/>
          <w:sz w:val="24"/>
        </w:rPr>
        <w:drawing>
          <wp:inline distT="0" distB="0" distL="0" distR="0">
            <wp:extent cx="5274310" cy="609600"/>
            <wp:effectExtent l="57150" t="57150" r="97790" b="9525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spacing w:line="360" w:lineRule="auto"/>
        <w:ind w:firstLine="495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</w:t>
      </w:r>
      <w:r>
        <w:rPr>
          <w:rFonts w:asciiTheme="majorEastAsia" w:hAnsiTheme="majorEastAsia" w:eastAsiaTheme="majorEastAsia"/>
          <w:sz w:val="24"/>
        </w:rPr>
        <w:t>：</w:t>
      </w:r>
      <w:r>
        <w:rPr>
          <w:rFonts w:hint="eastAsia" w:asciiTheme="majorEastAsia" w:hAnsiTheme="majorEastAsia" w:eastAsiaTheme="majorEastAsia"/>
          <w:sz w:val="24"/>
        </w:rPr>
        <w:t>网申系统截止</w:t>
      </w:r>
      <w:r>
        <w:rPr>
          <w:rFonts w:asciiTheme="majorEastAsia" w:hAnsiTheme="majorEastAsia" w:eastAsiaTheme="majorEastAsia"/>
          <w:sz w:val="24"/>
        </w:rPr>
        <w:t>投递简历时间为</w:t>
      </w:r>
      <w:r>
        <w:rPr>
          <w:rFonts w:hint="eastAsia" w:asciiTheme="majorEastAsia" w:hAnsiTheme="majorEastAsia" w:eastAsiaTheme="majorEastAsia"/>
          <w:sz w:val="24"/>
        </w:rPr>
        <w:t>3月5日 18:00</w:t>
      </w:r>
    </w:p>
    <w:p>
      <w:pPr>
        <w:spacing w:line="360" w:lineRule="auto"/>
        <w:ind w:firstLine="495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笔试时间</w:t>
      </w:r>
      <w:r>
        <w:rPr>
          <w:rFonts w:asciiTheme="majorEastAsia" w:hAnsiTheme="majorEastAsia" w:eastAsiaTheme="majorEastAsia"/>
          <w:sz w:val="24"/>
        </w:rPr>
        <w:t>暂定为</w:t>
      </w:r>
      <w:r>
        <w:rPr>
          <w:rFonts w:hint="eastAsia" w:asciiTheme="majorEastAsia" w:hAnsiTheme="majorEastAsia" w:eastAsiaTheme="majorEastAsia"/>
          <w:sz w:val="24"/>
        </w:rPr>
        <w:t>3月8日，</w:t>
      </w:r>
      <w:r>
        <w:rPr>
          <w:rFonts w:asciiTheme="majorEastAsia" w:hAnsiTheme="majorEastAsia" w:eastAsiaTheme="majorEastAsia"/>
          <w:sz w:val="24"/>
        </w:rPr>
        <w:t>面试时间暂定为</w:t>
      </w:r>
      <w:r>
        <w:rPr>
          <w:rFonts w:hint="eastAsia" w:asciiTheme="majorEastAsia" w:hAnsiTheme="majorEastAsia" w:eastAsiaTheme="majorEastAsia"/>
          <w:sz w:val="24"/>
        </w:rPr>
        <w:t>3月15日</w:t>
      </w:r>
      <w:r>
        <w:rPr>
          <w:rFonts w:asciiTheme="majorEastAsia" w:hAnsiTheme="majorEastAsia" w:eastAsiaTheme="majorEastAsia"/>
          <w:sz w:val="24"/>
        </w:rPr>
        <w:t>（</w:t>
      </w:r>
      <w:r>
        <w:rPr>
          <w:rFonts w:hint="eastAsia" w:asciiTheme="majorEastAsia" w:hAnsiTheme="majorEastAsia" w:eastAsiaTheme="majorEastAsia"/>
          <w:sz w:val="24"/>
        </w:rPr>
        <w:t>具体</w:t>
      </w:r>
      <w:r>
        <w:rPr>
          <w:rFonts w:asciiTheme="majorEastAsia" w:hAnsiTheme="majorEastAsia" w:eastAsiaTheme="majorEastAsia"/>
          <w:sz w:val="24"/>
        </w:rPr>
        <w:t>以通知时间</w:t>
      </w:r>
      <w:r>
        <w:rPr>
          <w:rFonts w:hint="eastAsia" w:asciiTheme="majorEastAsia" w:hAnsiTheme="majorEastAsia" w:eastAsiaTheme="majorEastAsia"/>
          <w:sz w:val="24"/>
        </w:rPr>
        <w:t>为准</w:t>
      </w:r>
      <w:r>
        <w:rPr>
          <w:rFonts w:asciiTheme="majorEastAsia" w:hAnsiTheme="majorEastAsia" w:eastAsiaTheme="majorEastAsia"/>
          <w:sz w:val="24"/>
        </w:rPr>
        <w:t>）</w:t>
      </w:r>
    </w:p>
    <w:p>
      <w:pPr>
        <w:spacing w:line="360" w:lineRule="auto"/>
        <w:ind w:firstLine="405"/>
        <w:jc w:val="left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</w:t>
      </w:r>
      <w:r>
        <w:rPr>
          <w:rFonts w:asciiTheme="majorEastAsia" w:hAnsiTheme="majorEastAsia" w:eastAsiaTheme="majorEastAsia"/>
          <w:b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招聘流程</w:t>
      </w:r>
      <w:r>
        <w:rPr>
          <w:rFonts w:asciiTheme="majorEastAsia" w:hAnsiTheme="majorEastAsia" w:eastAsiaTheme="majorEastAsia"/>
          <w:b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连接未来流程图</w:t>
      </w:r>
      <w:r>
        <w:rPr>
          <w:rFonts w:asciiTheme="majorEastAsia" w:hAnsiTheme="majorEastAsia" w:eastAsiaTheme="majorEastAsia"/>
          <w:b/>
          <w:sz w:val="24"/>
          <w:szCs w:val="24"/>
        </w:rPr>
        <w:t>）</w:t>
      </w:r>
    </w:p>
    <w:p>
      <w:pPr>
        <w:spacing w:line="360" w:lineRule="auto"/>
        <w:ind w:firstLine="495"/>
        <w:rPr>
          <w:rFonts w:asciiTheme="majorEastAsia" w:hAnsiTheme="majorEastAsia" w:eastAsiaTheme="majorEastAsia"/>
          <w:b/>
          <w:color w:val="FF0000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color w:val="FF0000"/>
          <w:sz w:val="24"/>
          <w:szCs w:val="24"/>
        </w:rPr>
        <w:t>即日起至2017年</w:t>
      </w:r>
      <w:r>
        <w:rPr>
          <w:rFonts w:asciiTheme="majorEastAsia" w:hAnsiTheme="majorEastAsia" w:eastAsiaTheme="majorEastAsia"/>
          <w:b/>
          <w:color w:val="FF0000"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/>
          <w:color w:val="FF0000"/>
          <w:sz w:val="24"/>
          <w:szCs w:val="24"/>
        </w:rPr>
        <w:t>月</w:t>
      </w:r>
      <w:r>
        <w:rPr>
          <w:rFonts w:asciiTheme="majorEastAsia" w:hAnsiTheme="majorEastAsia" w:eastAsiaTheme="majorEastAsia"/>
          <w:b/>
          <w:color w:val="FF0000"/>
          <w:sz w:val="24"/>
          <w:szCs w:val="24"/>
        </w:rPr>
        <w:t>5</w:t>
      </w:r>
      <w:r>
        <w:rPr>
          <w:rFonts w:hint="eastAsia" w:asciiTheme="majorEastAsia" w:hAnsiTheme="majorEastAsia" w:eastAsiaTheme="majorEastAsia"/>
          <w:b/>
          <w:color w:val="FF0000"/>
          <w:sz w:val="24"/>
          <w:szCs w:val="24"/>
        </w:rPr>
        <w:t>日18:00 网申</w:t>
      </w:r>
      <w:r>
        <w:rPr>
          <w:rFonts w:asciiTheme="majorEastAsia" w:hAnsiTheme="majorEastAsia" w:eastAsiaTheme="majorEastAsia"/>
          <w:b/>
          <w:color w:val="FF0000"/>
          <w:sz w:val="24"/>
          <w:szCs w:val="24"/>
        </w:rPr>
        <w:t>系统</w:t>
      </w:r>
      <w:r>
        <w:rPr>
          <w:rFonts w:hint="eastAsia" w:asciiTheme="majorEastAsia" w:hAnsiTheme="majorEastAsia" w:eastAsiaTheme="majorEastAsia"/>
          <w:b/>
          <w:color w:val="FF0000"/>
          <w:sz w:val="24"/>
          <w:szCs w:val="24"/>
        </w:rPr>
        <w:t>简历收集</w:t>
      </w:r>
    </w:p>
    <w:p>
      <w:pPr>
        <w:pStyle w:val="16"/>
        <w:spacing w:line="360" w:lineRule="auto"/>
        <w:ind w:left="720" w:firstLine="0" w:firstLineChars="0"/>
        <w:rPr>
          <w:rFonts w:hint="eastAsia" w:asciiTheme="majorEastAsia" w:hAnsiTheme="majorEastAsia" w:eastAsiaTheme="majorEastAsia"/>
          <w:b/>
          <w:color w:val="E46C0A" w:themeColor="accent6" w:themeShade="BF"/>
          <w:sz w:val="24"/>
          <w:szCs w:val="24"/>
        </w:rPr>
      </w:pPr>
    </w:p>
    <w:p>
      <w:pPr>
        <w:spacing w:line="360" w:lineRule="auto"/>
        <w:ind w:firstLine="495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开启梦想的钥匙，就是你的简历，同学们，请第一时间登陆并投递。</w:t>
      </w:r>
    </w:p>
    <w:p>
      <w:pPr>
        <w:spacing w:line="360" w:lineRule="auto"/>
        <w:ind w:firstLine="495"/>
        <w:jc w:val="left"/>
        <w:rPr>
          <w:rFonts w:asciiTheme="majorEastAsia" w:hAnsiTheme="majorEastAsia" w:eastAsiaTheme="majorEastAsia"/>
          <w:b/>
          <w:color w:val="FF000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/>
          <w:color w:val="FF0000"/>
          <w:sz w:val="28"/>
          <w:szCs w:val="28"/>
          <w:u w:val="single"/>
        </w:rPr>
        <w:t>简历投递方式：</w:t>
      </w:r>
    </w:p>
    <w:p>
      <w:pPr>
        <w:spacing w:line="360" w:lineRule="auto"/>
        <w:ind w:firstLine="495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网申网址：</w:t>
      </w:r>
      <w:r>
        <w:fldChar w:fldCharType="begin"/>
      </w:r>
      <w:r>
        <w:instrText xml:space="preserve"> HYPERLINK "http://campus.chinahr.com/2017/bowei/index.asp" </w:instrText>
      </w:r>
      <w:r>
        <w:fldChar w:fldCharType="separate"/>
      </w:r>
      <w:r>
        <w:rPr>
          <w:rStyle w:val="12"/>
          <w:rFonts w:asciiTheme="majorEastAsia" w:hAnsiTheme="majorEastAsia" w:eastAsiaTheme="majorEastAsia"/>
          <w:sz w:val="24"/>
          <w:szCs w:val="24"/>
        </w:rPr>
        <w:t>http://campus.chinahr.com/2017/bowei/index.asp</w:t>
      </w:r>
      <w:r>
        <w:rPr>
          <w:rStyle w:val="12"/>
          <w:rFonts w:asciiTheme="majorEastAsia" w:hAnsiTheme="majorEastAsia" w:eastAsiaTheme="majorEastAsia"/>
          <w:sz w:val="24"/>
          <w:szCs w:val="24"/>
        </w:rPr>
        <w:fldChar w:fldCharType="end"/>
      </w:r>
      <w:r>
        <w:rPr>
          <w:rFonts w:hint="eastAsia" w:asciiTheme="majorEastAsia" w:hAnsiTheme="majorEastAsia" w:eastAsiaTheme="majorEastAsia"/>
          <w:sz w:val="24"/>
          <w:szCs w:val="24"/>
        </w:rPr>
        <w:t>（建议</w:t>
      </w:r>
      <w:r>
        <w:rPr>
          <w:rFonts w:asciiTheme="majorEastAsia" w:hAnsiTheme="majorEastAsia" w:eastAsiaTheme="majorEastAsia"/>
          <w:sz w:val="24"/>
          <w:szCs w:val="24"/>
        </w:rPr>
        <w:t>通过此渠道进行简历投递</w:t>
      </w:r>
      <w:r>
        <w:rPr>
          <w:rFonts w:hint="eastAsia" w:asciiTheme="majorEastAsia" w:hAnsiTheme="majorEastAsia" w:eastAsiaTheme="majorEastAsia"/>
          <w:sz w:val="24"/>
          <w:szCs w:val="24"/>
        </w:rPr>
        <w:t>）</w:t>
      </w:r>
    </w:p>
    <w:p>
      <w:pPr>
        <w:spacing w:line="360" w:lineRule="auto"/>
        <w:ind w:firstLine="495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邮件</w:t>
      </w:r>
      <w:r>
        <w:rPr>
          <w:rFonts w:asciiTheme="majorEastAsia" w:hAnsiTheme="majorEastAsia" w:eastAsiaTheme="majorEastAsia"/>
          <w:sz w:val="24"/>
          <w:szCs w:val="24"/>
        </w:rPr>
        <w:t>投递：报名简历</w:t>
      </w:r>
      <w:r>
        <w:rPr>
          <w:rFonts w:hint="eastAsia" w:asciiTheme="majorEastAsia" w:hAnsiTheme="majorEastAsia" w:eastAsiaTheme="majorEastAsia"/>
          <w:sz w:val="24"/>
          <w:szCs w:val="24"/>
        </w:rPr>
        <w:t>请</w:t>
      </w:r>
      <w:r>
        <w:rPr>
          <w:rFonts w:asciiTheme="majorEastAsia" w:hAnsiTheme="majorEastAsia" w:eastAsiaTheme="majorEastAsia"/>
          <w:sz w:val="24"/>
          <w:szCs w:val="24"/>
        </w:rPr>
        <w:t>以“</w:t>
      </w:r>
      <w:r>
        <w:rPr>
          <w:rFonts w:hint="eastAsia" w:asciiTheme="majorEastAsia" w:hAnsiTheme="majorEastAsia" w:eastAsiaTheme="majorEastAsia"/>
          <w:sz w:val="24"/>
          <w:szCs w:val="24"/>
        </w:rPr>
        <w:t>姓名</w:t>
      </w:r>
      <w:r>
        <w:rPr>
          <w:rFonts w:asciiTheme="majorEastAsia" w:hAnsiTheme="majorEastAsia" w:eastAsiaTheme="majorEastAsia"/>
          <w:sz w:val="24"/>
          <w:szCs w:val="24"/>
        </w:rPr>
        <w:t>+学校+应聘岗位”</w:t>
      </w:r>
      <w:r>
        <w:rPr>
          <w:rFonts w:hint="eastAsia" w:asciiTheme="majorEastAsia" w:hAnsiTheme="majorEastAsia" w:eastAsiaTheme="majorEastAsia"/>
          <w:sz w:val="24"/>
          <w:szCs w:val="24"/>
        </w:rPr>
        <w:t>命名</w:t>
      </w:r>
    </w:p>
    <w:p>
      <w:pPr>
        <w:spacing w:line="360" w:lineRule="auto"/>
        <w:ind w:firstLine="495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投至邮箱：</w:t>
      </w:r>
      <w: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t>boweihangkong@163.com</w:t>
      </w:r>
    </w:p>
    <w:p>
      <w:pPr>
        <w:spacing w:line="360" w:lineRule="auto"/>
        <w:ind w:firstLine="495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咨询电话：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010-</w:t>
      </w:r>
      <w:r>
        <w:fldChar w:fldCharType="begin"/>
      </w:r>
      <w:r>
        <w:instrText xml:space="preserve"> HYPERLINK "mailto:cmri_zhaopin@163.com" </w:instrText>
      </w:r>
      <w:r>
        <w:fldChar w:fldCharType="separate"/>
      </w:r>
      <w:r>
        <w:rPr>
          <w:rStyle w:val="12"/>
          <w:rFonts w:asciiTheme="majorEastAsia" w:hAnsiTheme="majorEastAsia" w:eastAsiaTheme="maj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58289358</w:t>
      </w:r>
      <w:r>
        <w:rPr>
          <w:rStyle w:val="12"/>
          <w:rFonts w:asciiTheme="majorEastAsia" w:hAnsiTheme="majorEastAsia" w:eastAsiaTheme="maj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12"/>
          <w:rFonts w:hint="eastAsia" w:asciiTheme="majorEastAsia" w:hAnsiTheme="majorEastAsia" w:eastAsiaTheme="major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/15810677188</w:t>
      </w:r>
      <w:r>
        <w:rPr>
          <w:rFonts w:hint="eastAsia" w:asciiTheme="majorEastAsia" w:hAnsiTheme="majorEastAsia" w:eastAsiaTheme="majorEastAsia"/>
          <w:sz w:val="24"/>
          <w:szCs w:val="24"/>
        </w:rPr>
        <w:t>（咨询时间早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sz w:val="24"/>
          <w:szCs w:val="24"/>
        </w:rPr>
        <w:t>:00至晚6:00）</w:t>
      </w:r>
    </w:p>
    <w:p>
      <w:pPr>
        <w:spacing w:line="360" w:lineRule="auto"/>
        <w:ind w:firstLine="495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微信投递二维码</w:t>
      </w:r>
      <w:r>
        <w:rPr>
          <w:rFonts w:asciiTheme="majorEastAsia" w:hAnsiTheme="majorEastAsia" w:eastAsiaTheme="majorEastAsia"/>
          <w:sz w:val="24"/>
          <w:szCs w:val="24"/>
        </w:rPr>
        <w:t>投递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bookmarkStart w:id="0" w:name="_GoBack"/>
      <w:bookmarkEnd w:id="0"/>
    </w:p>
    <w:p>
      <w:pPr>
        <w:spacing w:line="360" w:lineRule="auto"/>
        <w:ind w:firstLine="495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2668905" cy="2668905"/>
            <wp:effectExtent l="0" t="0" r="0" b="0"/>
            <wp:docPr id="2" name="图片 2" descr="C:\Users\ADMINI~1\AppData\Local\Temp\WeChat Files\39dc279fe914472cf009f763691c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39dc279fe914472cf009f763691c1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2517"/>
    <w:multiLevelType w:val="multilevel"/>
    <w:tmpl w:val="7285251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AE"/>
    <w:rsid w:val="00022CFB"/>
    <w:rsid w:val="00034EE9"/>
    <w:rsid w:val="00036F2D"/>
    <w:rsid w:val="000A25BB"/>
    <w:rsid w:val="000D3BC5"/>
    <w:rsid w:val="000D6378"/>
    <w:rsid w:val="000F2387"/>
    <w:rsid w:val="001634AD"/>
    <w:rsid w:val="0031102B"/>
    <w:rsid w:val="0032406C"/>
    <w:rsid w:val="00336240"/>
    <w:rsid w:val="003515F9"/>
    <w:rsid w:val="003E3B20"/>
    <w:rsid w:val="004611E6"/>
    <w:rsid w:val="0048317C"/>
    <w:rsid w:val="004A4411"/>
    <w:rsid w:val="004D37D2"/>
    <w:rsid w:val="00500A5E"/>
    <w:rsid w:val="00501601"/>
    <w:rsid w:val="00555B5B"/>
    <w:rsid w:val="005C7826"/>
    <w:rsid w:val="005D4ECB"/>
    <w:rsid w:val="00624160"/>
    <w:rsid w:val="006438D2"/>
    <w:rsid w:val="006C4C15"/>
    <w:rsid w:val="00701044"/>
    <w:rsid w:val="007215A8"/>
    <w:rsid w:val="007229CC"/>
    <w:rsid w:val="00754EA9"/>
    <w:rsid w:val="00763887"/>
    <w:rsid w:val="00794F24"/>
    <w:rsid w:val="007A1354"/>
    <w:rsid w:val="00831853"/>
    <w:rsid w:val="00897F29"/>
    <w:rsid w:val="008A68CE"/>
    <w:rsid w:val="008D454B"/>
    <w:rsid w:val="008D673A"/>
    <w:rsid w:val="008E3BDE"/>
    <w:rsid w:val="008F2EDA"/>
    <w:rsid w:val="009C25FA"/>
    <w:rsid w:val="00A36070"/>
    <w:rsid w:val="00A4628D"/>
    <w:rsid w:val="00A52381"/>
    <w:rsid w:val="00A61FAC"/>
    <w:rsid w:val="00A65B69"/>
    <w:rsid w:val="00A81CC2"/>
    <w:rsid w:val="00B67B0F"/>
    <w:rsid w:val="00B905FF"/>
    <w:rsid w:val="00BD6B4D"/>
    <w:rsid w:val="00BD7DC3"/>
    <w:rsid w:val="00C43153"/>
    <w:rsid w:val="00C93EE7"/>
    <w:rsid w:val="00CA29A0"/>
    <w:rsid w:val="00CC5967"/>
    <w:rsid w:val="00CE2E39"/>
    <w:rsid w:val="00D6248B"/>
    <w:rsid w:val="00DA24BF"/>
    <w:rsid w:val="00DB257C"/>
    <w:rsid w:val="00DB5F60"/>
    <w:rsid w:val="00DD02F2"/>
    <w:rsid w:val="00E04287"/>
    <w:rsid w:val="00E1352F"/>
    <w:rsid w:val="00E34103"/>
    <w:rsid w:val="00E40371"/>
    <w:rsid w:val="00E70CF3"/>
    <w:rsid w:val="00EA472C"/>
    <w:rsid w:val="00EB33D9"/>
    <w:rsid w:val="00EB7E1C"/>
    <w:rsid w:val="00ED1AA6"/>
    <w:rsid w:val="00ED5D07"/>
    <w:rsid w:val="00FA446E"/>
    <w:rsid w:val="00FA6A8B"/>
    <w:rsid w:val="00FC21D9"/>
    <w:rsid w:val="00FD11AE"/>
    <w:rsid w:val="00FD64A2"/>
    <w:rsid w:val="00FE2A43"/>
    <w:rsid w:val="10EE7CFF"/>
    <w:rsid w:val="42E365BF"/>
    <w:rsid w:val="5E6D5F39"/>
    <w:rsid w:val="69AD21FC"/>
    <w:rsid w:val="6B0D65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3"/>
    <w:unhideWhenUsed/>
    <w:qFormat/>
    <w:uiPriority w:val="99"/>
    <w:rPr>
      <w:b/>
      <w:bCs/>
    </w:r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18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19">
    <w:name w:val="批注框文本 Char"/>
    <w:basedOn w:val="9"/>
    <w:link w:val="5"/>
    <w:semiHidden/>
    <w:qFormat/>
    <w:uiPriority w:val="99"/>
    <w:rPr>
      <w:sz w:val="18"/>
      <w:szCs w:val="18"/>
    </w:rPr>
  </w:style>
  <w:style w:type="table" w:customStyle="1" w:styleId="20">
    <w:name w:val="网格表 4 - 着色 11"/>
    <w:basedOn w:val="14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BE5F1" w:themeFill="accent1" w:themeFillTint="33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character" w:customStyle="1" w:styleId="21">
    <w:name w:val="日期 Char"/>
    <w:basedOn w:val="9"/>
    <w:link w:val="4"/>
    <w:semiHidden/>
    <w:qFormat/>
    <w:uiPriority w:val="99"/>
  </w:style>
  <w:style w:type="character" w:customStyle="1" w:styleId="22">
    <w:name w:val="批注文字 Char"/>
    <w:basedOn w:val="9"/>
    <w:link w:val="3"/>
    <w:semiHidden/>
    <w:qFormat/>
    <w:uiPriority w:val="99"/>
  </w:style>
  <w:style w:type="character" w:customStyle="1" w:styleId="23">
    <w:name w:val="批注主题 Char"/>
    <w:basedOn w:val="22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229DA-1D67-488E-80BC-894FBAFAA334}" type="doc">
      <dgm:prSet loTypeId="urn:microsoft.com/office/officeart/2005/8/layout/chevron1" loCatId="process" qsTypeId="urn:microsoft.com/office/officeart/2005/8/quickstyle/3d3" qsCatId="3D" csTypeId="urn:microsoft.com/office/officeart/2005/8/colors/accent1_4" csCatId="accent1" phldr="1"/>
      <dgm:spPr/>
    </dgm:pt>
    <dgm:pt modelId="{F6457458-6CB0-43F4-A107-62140CEDAD07}">
      <dgm:prSet phldrT="[文本]" custT="1"/>
      <dgm:spPr/>
      <dgm:t>
        <a:bodyPr/>
        <a:p>
          <a:r>
            <a:rPr lang="zh-CN" altLang="en-US" sz="2400" b="1">
              <a:solidFill>
                <a:schemeClr val="bg1"/>
              </a:solidFill>
            </a:rPr>
            <a:t>网申</a:t>
          </a:r>
        </a:p>
      </dgm:t>
    </dgm:pt>
    <dgm:pt modelId="{26B86ECF-058A-41C0-9ABB-50E5734524E2}" cxnId="{06D662DB-7249-435E-A822-572501825168}" type="parTrans">
      <dgm:prSet/>
      <dgm:spPr/>
      <dgm:t>
        <a:bodyPr/>
        <a:p>
          <a:endParaRPr lang="zh-CN" altLang="en-US" sz="1600" b="1">
            <a:solidFill>
              <a:schemeClr val="bg1"/>
            </a:solidFill>
          </a:endParaRPr>
        </a:p>
      </dgm:t>
    </dgm:pt>
    <dgm:pt modelId="{2CED8FFF-7EAD-447D-B8FB-E5D3A796A0E0}" cxnId="{06D662DB-7249-435E-A822-572501825168}" type="sibTrans">
      <dgm:prSet/>
      <dgm:spPr/>
      <dgm:t>
        <a:bodyPr/>
        <a:p>
          <a:endParaRPr lang="zh-CN" altLang="en-US" sz="1600" b="1">
            <a:solidFill>
              <a:schemeClr val="bg1"/>
            </a:solidFill>
          </a:endParaRPr>
        </a:p>
      </dgm:t>
    </dgm:pt>
    <dgm:pt modelId="{4E6B7E77-1D88-45BB-8EA5-15D19F98A7E7}">
      <dgm:prSet phldrT="[文本]" custT="1"/>
      <dgm:spPr/>
      <dgm:t>
        <a:bodyPr/>
        <a:p>
          <a:r>
            <a:rPr lang="zh-CN" altLang="en-US" sz="2400" b="1">
              <a:solidFill>
                <a:schemeClr val="bg1"/>
              </a:solidFill>
            </a:rPr>
            <a:t>笔试</a:t>
          </a:r>
        </a:p>
      </dgm:t>
    </dgm:pt>
    <dgm:pt modelId="{D91A8D82-F5B7-4C94-8AAF-49F7BA03E0ED}" cxnId="{13508D06-E4FF-4ECC-A0BC-E6C30511B0E8}" type="parTrans">
      <dgm:prSet/>
      <dgm:spPr/>
      <dgm:t>
        <a:bodyPr/>
        <a:p>
          <a:endParaRPr lang="zh-CN" altLang="en-US" sz="1600" b="1">
            <a:solidFill>
              <a:schemeClr val="bg1"/>
            </a:solidFill>
          </a:endParaRPr>
        </a:p>
      </dgm:t>
    </dgm:pt>
    <dgm:pt modelId="{F06B1BCD-C7FF-434A-96C3-53E5F35BA73F}" cxnId="{13508D06-E4FF-4ECC-A0BC-E6C30511B0E8}" type="sibTrans">
      <dgm:prSet/>
      <dgm:spPr/>
      <dgm:t>
        <a:bodyPr/>
        <a:p>
          <a:endParaRPr lang="zh-CN" altLang="en-US" sz="1600" b="1">
            <a:solidFill>
              <a:schemeClr val="bg1"/>
            </a:solidFill>
          </a:endParaRPr>
        </a:p>
      </dgm:t>
    </dgm:pt>
    <dgm:pt modelId="{B2C5DEBE-2384-48E7-BA9D-2D7036649F0F}">
      <dgm:prSet phldrT="[文本]" custT="1"/>
      <dgm:spPr/>
      <dgm:t>
        <a:bodyPr/>
        <a:p>
          <a:r>
            <a:rPr lang="zh-CN" altLang="en-US" sz="2400" b="1">
              <a:solidFill>
                <a:schemeClr val="bg1"/>
              </a:solidFill>
            </a:rPr>
            <a:t>面试</a:t>
          </a:r>
        </a:p>
      </dgm:t>
    </dgm:pt>
    <dgm:pt modelId="{C591E931-CA6D-454E-8A33-5E7CEE579D74}" cxnId="{9C6E8A94-001F-41A9-9616-5F8C34ABE686}" type="parTrans">
      <dgm:prSet/>
      <dgm:spPr/>
      <dgm:t>
        <a:bodyPr/>
        <a:p>
          <a:endParaRPr lang="zh-CN" altLang="en-US" sz="1600" b="1">
            <a:solidFill>
              <a:schemeClr val="bg1"/>
            </a:solidFill>
          </a:endParaRPr>
        </a:p>
      </dgm:t>
    </dgm:pt>
    <dgm:pt modelId="{D95F485E-3656-430E-8FD9-F2C06801B915}" cxnId="{9C6E8A94-001F-41A9-9616-5F8C34ABE686}" type="sibTrans">
      <dgm:prSet/>
      <dgm:spPr/>
      <dgm:t>
        <a:bodyPr/>
        <a:p>
          <a:endParaRPr lang="zh-CN" altLang="en-US" sz="1600" b="1">
            <a:solidFill>
              <a:schemeClr val="bg1"/>
            </a:solidFill>
          </a:endParaRPr>
        </a:p>
      </dgm:t>
    </dgm:pt>
    <dgm:pt modelId="{C753120B-22BD-41E1-B9F4-BC89817C1086}">
      <dgm:prSet phldrT="[文本]" custT="1"/>
      <dgm:spPr/>
      <dgm:t>
        <a:bodyPr/>
        <a:p>
          <a:r>
            <a:rPr lang="en-US" altLang="zh-CN" sz="2400" b="1">
              <a:solidFill>
                <a:schemeClr val="bg1"/>
              </a:solidFill>
            </a:rPr>
            <a:t>offer</a:t>
          </a:r>
          <a:endParaRPr lang="zh-CN" altLang="en-US" sz="2400" b="1">
            <a:solidFill>
              <a:schemeClr val="bg1"/>
            </a:solidFill>
          </a:endParaRPr>
        </a:p>
      </dgm:t>
    </dgm:pt>
    <dgm:pt modelId="{42014624-6C64-4B2C-BC23-7D96E40DEB22}" cxnId="{4D0AF7A8-F885-4CDA-AE93-5C805DE1B988}" type="parTrans">
      <dgm:prSet/>
      <dgm:spPr/>
      <dgm:t>
        <a:bodyPr/>
        <a:p>
          <a:endParaRPr lang="zh-CN" altLang="en-US" sz="1600" b="1">
            <a:solidFill>
              <a:schemeClr val="bg1"/>
            </a:solidFill>
          </a:endParaRPr>
        </a:p>
      </dgm:t>
    </dgm:pt>
    <dgm:pt modelId="{E18EE5AF-9CAD-4EE5-840D-D8A1A8039DF4}" cxnId="{4D0AF7A8-F885-4CDA-AE93-5C805DE1B988}" type="sibTrans">
      <dgm:prSet/>
      <dgm:spPr/>
      <dgm:t>
        <a:bodyPr/>
        <a:p>
          <a:endParaRPr lang="zh-CN" altLang="en-US" sz="1600" b="1">
            <a:solidFill>
              <a:schemeClr val="bg1"/>
            </a:solidFill>
          </a:endParaRPr>
        </a:p>
      </dgm:t>
    </dgm:pt>
    <dgm:pt modelId="{93CE4537-0FEF-413D-ACC2-6E92E1B79E35}" type="pres">
      <dgm:prSet presAssocID="{60C229DA-1D67-488E-80BC-894FBAFAA334}" presName="Name0" presStyleCnt="0">
        <dgm:presLayoutVars>
          <dgm:dir/>
          <dgm:animLvl val="lvl"/>
          <dgm:resizeHandles val="exact"/>
        </dgm:presLayoutVars>
      </dgm:prSet>
      <dgm:spPr/>
    </dgm:pt>
    <dgm:pt modelId="{452E6BF9-2BD6-4E0C-ABAD-38E3F090FFAD}" type="pres">
      <dgm:prSet presAssocID="{F6457458-6CB0-43F4-A107-62140CEDAD07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F91C8046-CDD5-4F7C-9E44-C64D348F1551}" type="pres">
      <dgm:prSet presAssocID="{2CED8FFF-7EAD-447D-B8FB-E5D3A796A0E0}" presName="parTxOnlySpace" presStyleCnt="0"/>
      <dgm:spPr/>
    </dgm:pt>
    <dgm:pt modelId="{7A227B08-CDAE-428F-AD3A-82FA496D0D27}" type="pres">
      <dgm:prSet presAssocID="{4E6B7E77-1D88-45BB-8EA5-15D19F98A7E7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A5740DEC-E370-469D-A69B-0E8947170C42}" type="pres">
      <dgm:prSet presAssocID="{F06B1BCD-C7FF-434A-96C3-53E5F35BA73F}" presName="parTxOnlySpace" presStyleCnt="0"/>
      <dgm:spPr/>
    </dgm:pt>
    <dgm:pt modelId="{3BDEDCBE-931E-4DF8-AF52-5638F22813D6}" type="pres">
      <dgm:prSet presAssocID="{B2C5DEBE-2384-48E7-BA9D-2D7036649F0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490033C0-3F22-4F60-81E1-095CDFF9FA08}" type="pres">
      <dgm:prSet presAssocID="{D95F485E-3656-430E-8FD9-F2C06801B915}" presName="parTxOnlySpace" presStyleCnt="0"/>
      <dgm:spPr/>
    </dgm:pt>
    <dgm:pt modelId="{9D83D1AA-863C-4A9C-B0BC-E51D4F53AD27}" type="pres">
      <dgm:prSet presAssocID="{C753120B-22BD-41E1-B9F4-BC89817C1086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4D0AF7A8-F885-4CDA-AE93-5C805DE1B988}" srcId="{60C229DA-1D67-488E-80BC-894FBAFAA334}" destId="{C753120B-22BD-41E1-B9F4-BC89817C1086}" srcOrd="3" destOrd="0" parTransId="{42014624-6C64-4B2C-BC23-7D96E40DEB22}" sibTransId="{E18EE5AF-9CAD-4EE5-840D-D8A1A8039DF4}"/>
    <dgm:cxn modelId="{82B22FFD-0921-46EF-8814-36A458D2245E}" type="presOf" srcId="{C753120B-22BD-41E1-B9F4-BC89817C1086}" destId="{9D83D1AA-863C-4A9C-B0BC-E51D4F53AD27}" srcOrd="0" destOrd="0" presId="urn:microsoft.com/office/officeart/2005/8/layout/chevron1"/>
    <dgm:cxn modelId="{9C6E8A94-001F-41A9-9616-5F8C34ABE686}" srcId="{60C229DA-1D67-488E-80BC-894FBAFAA334}" destId="{B2C5DEBE-2384-48E7-BA9D-2D7036649F0F}" srcOrd="2" destOrd="0" parTransId="{C591E931-CA6D-454E-8A33-5E7CEE579D74}" sibTransId="{D95F485E-3656-430E-8FD9-F2C06801B915}"/>
    <dgm:cxn modelId="{06D662DB-7249-435E-A822-572501825168}" srcId="{60C229DA-1D67-488E-80BC-894FBAFAA334}" destId="{F6457458-6CB0-43F4-A107-62140CEDAD07}" srcOrd="0" destOrd="0" parTransId="{26B86ECF-058A-41C0-9ABB-50E5734524E2}" sibTransId="{2CED8FFF-7EAD-447D-B8FB-E5D3A796A0E0}"/>
    <dgm:cxn modelId="{1585A6F7-1919-480C-8C6B-565710844122}" type="presOf" srcId="{B2C5DEBE-2384-48E7-BA9D-2D7036649F0F}" destId="{3BDEDCBE-931E-4DF8-AF52-5638F22813D6}" srcOrd="0" destOrd="0" presId="urn:microsoft.com/office/officeart/2005/8/layout/chevron1"/>
    <dgm:cxn modelId="{13508D06-E4FF-4ECC-A0BC-E6C30511B0E8}" srcId="{60C229DA-1D67-488E-80BC-894FBAFAA334}" destId="{4E6B7E77-1D88-45BB-8EA5-15D19F98A7E7}" srcOrd="1" destOrd="0" parTransId="{D91A8D82-F5B7-4C94-8AAF-49F7BA03E0ED}" sibTransId="{F06B1BCD-C7FF-434A-96C3-53E5F35BA73F}"/>
    <dgm:cxn modelId="{A9273128-B240-48EA-B79E-F76FEB492B62}" type="presOf" srcId="{F6457458-6CB0-43F4-A107-62140CEDAD07}" destId="{452E6BF9-2BD6-4E0C-ABAD-38E3F090FFAD}" srcOrd="0" destOrd="0" presId="urn:microsoft.com/office/officeart/2005/8/layout/chevron1"/>
    <dgm:cxn modelId="{2D282F1E-4E41-49F5-A262-4A2AD2BA7297}" type="presOf" srcId="{4E6B7E77-1D88-45BB-8EA5-15D19F98A7E7}" destId="{7A227B08-CDAE-428F-AD3A-82FA496D0D27}" srcOrd="0" destOrd="0" presId="urn:microsoft.com/office/officeart/2005/8/layout/chevron1"/>
    <dgm:cxn modelId="{CE231580-0EF4-4D74-BD19-D6F4D1129ABD}" type="presOf" srcId="{60C229DA-1D67-488E-80BC-894FBAFAA334}" destId="{93CE4537-0FEF-413D-ACC2-6E92E1B79E35}" srcOrd="0" destOrd="0" presId="urn:microsoft.com/office/officeart/2005/8/layout/chevron1"/>
    <dgm:cxn modelId="{55377F14-AF4E-43A2-AFEA-2B0B23D283D9}" type="presParOf" srcId="{93CE4537-0FEF-413D-ACC2-6E92E1B79E35}" destId="{452E6BF9-2BD6-4E0C-ABAD-38E3F090FFAD}" srcOrd="0" destOrd="0" presId="urn:microsoft.com/office/officeart/2005/8/layout/chevron1"/>
    <dgm:cxn modelId="{5A17E5FC-1F40-44F4-B959-BC04D3BD3E60}" type="presParOf" srcId="{93CE4537-0FEF-413D-ACC2-6E92E1B79E35}" destId="{F91C8046-CDD5-4F7C-9E44-C64D348F1551}" srcOrd="1" destOrd="0" presId="urn:microsoft.com/office/officeart/2005/8/layout/chevron1"/>
    <dgm:cxn modelId="{BCC89A1A-01B6-49EE-BAA3-B2A6ADD8A9CB}" type="presParOf" srcId="{93CE4537-0FEF-413D-ACC2-6E92E1B79E35}" destId="{7A227B08-CDAE-428F-AD3A-82FA496D0D27}" srcOrd="2" destOrd="0" presId="urn:microsoft.com/office/officeart/2005/8/layout/chevron1"/>
    <dgm:cxn modelId="{102BFF05-7C02-4A90-BC5B-7CC16D03459A}" type="presParOf" srcId="{93CE4537-0FEF-413D-ACC2-6E92E1B79E35}" destId="{A5740DEC-E370-469D-A69B-0E8947170C42}" srcOrd="3" destOrd="0" presId="urn:microsoft.com/office/officeart/2005/8/layout/chevron1"/>
    <dgm:cxn modelId="{A14B3E64-F811-43CF-92D8-E6E034C1CEF6}" type="presParOf" srcId="{93CE4537-0FEF-413D-ACC2-6E92E1B79E35}" destId="{3BDEDCBE-931E-4DF8-AF52-5638F22813D6}" srcOrd="4" destOrd="0" presId="urn:microsoft.com/office/officeart/2005/8/layout/chevron1"/>
    <dgm:cxn modelId="{17B26911-AC2B-4575-A85C-B8D97827E229}" type="presParOf" srcId="{93CE4537-0FEF-413D-ACC2-6E92E1B79E35}" destId="{490033C0-3F22-4F60-81E1-095CDFF9FA08}" srcOrd="5" destOrd="0" presId="urn:microsoft.com/office/officeart/2005/8/layout/chevron1"/>
    <dgm:cxn modelId="{1BE3D1DD-9A09-4FB5-B3CF-A1BEB545F483}" type="presParOf" srcId="{93CE4537-0FEF-413D-ACC2-6E92E1B79E35}" destId="{9D83D1AA-863C-4A9C-B0BC-E51D4F53AD27}" srcOrd="6" destOrd="0" presId="urn:microsoft.com/office/officeart/2005/8/layout/chevron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2E6BF9-2BD6-4E0C-ABAD-38E3F090FFAD}">
      <dsp:nvSpPr>
        <dsp:cNvPr id="0" name=""/>
        <dsp:cNvSpPr/>
      </dsp:nvSpPr>
      <dsp:spPr>
        <a:xfrm>
          <a:off x="2446" y="20077"/>
          <a:ext cx="1424166" cy="569666"/>
        </a:xfrm>
        <a:prstGeom prst="chevron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400" b="1" kern="1200">
              <a:solidFill>
                <a:schemeClr val="bg1"/>
              </a:solidFill>
            </a:rPr>
            <a:t>网申</a:t>
          </a:r>
        </a:p>
      </dsp:txBody>
      <dsp:txXfrm>
        <a:off x="287279" y="20077"/>
        <a:ext cx="854500" cy="569666"/>
      </dsp:txXfrm>
    </dsp:sp>
    <dsp:sp modelId="{7A227B08-CDAE-428F-AD3A-82FA496D0D27}">
      <dsp:nvSpPr>
        <dsp:cNvPr id="0" name=""/>
        <dsp:cNvSpPr/>
      </dsp:nvSpPr>
      <dsp:spPr>
        <a:xfrm>
          <a:off x="1284196" y="20077"/>
          <a:ext cx="1424166" cy="569666"/>
        </a:xfrm>
        <a:prstGeom prst="chevron">
          <a:avLst/>
        </a:prstGeom>
        <a:solidFill>
          <a:schemeClr val="accent1">
            <a:shade val="50000"/>
            <a:hueOff val="180718"/>
            <a:satOff val="-3780"/>
            <a:lumOff val="21031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400" b="1" kern="1200">
              <a:solidFill>
                <a:schemeClr val="bg1"/>
              </a:solidFill>
            </a:rPr>
            <a:t>笔试</a:t>
          </a:r>
        </a:p>
      </dsp:txBody>
      <dsp:txXfrm>
        <a:off x="1569029" y="20077"/>
        <a:ext cx="854500" cy="569666"/>
      </dsp:txXfrm>
    </dsp:sp>
    <dsp:sp modelId="{3BDEDCBE-931E-4DF8-AF52-5638F22813D6}">
      <dsp:nvSpPr>
        <dsp:cNvPr id="0" name=""/>
        <dsp:cNvSpPr/>
      </dsp:nvSpPr>
      <dsp:spPr>
        <a:xfrm>
          <a:off x="2565946" y="20077"/>
          <a:ext cx="1424166" cy="569666"/>
        </a:xfrm>
        <a:prstGeom prst="chevron">
          <a:avLst/>
        </a:prstGeom>
        <a:solidFill>
          <a:schemeClr val="accent1">
            <a:shade val="50000"/>
            <a:hueOff val="361436"/>
            <a:satOff val="-7560"/>
            <a:lumOff val="42063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400" b="1" kern="1200">
              <a:solidFill>
                <a:schemeClr val="bg1"/>
              </a:solidFill>
            </a:rPr>
            <a:t>面试</a:t>
          </a:r>
        </a:p>
      </dsp:txBody>
      <dsp:txXfrm>
        <a:off x="2850779" y="20077"/>
        <a:ext cx="854500" cy="569666"/>
      </dsp:txXfrm>
    </dsp:sp>
    <dsp:sp modelId="{9D83D1AA-863C-4A9C-B0BC-E51D4F53AD27}">
      <dsp:nvSpPr>
        <dsp:cNvPr id="0" name=""/>
        <dsp:cNvSpPr/>
      </dsp:nvSpPr>
      <dsp:spPr>
        <a:xfrm>
          <a:off x="3847696" y="20077"/>
          <a:ext cx="1424166" cy="569666"/>
        </a:xfrm>
        <a:prstGeom prst="chevron">
          <a:avLst/>
        </a:prstGeom>
        <a:solidFill>
          <a:schemeClr val="accent1">
            <a:shade val="50000"/>
            <a:hueOff val="180718"/>
            <a:satOff val="-3780"/>
            <a:lumOff val="21031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2400" b="1" kern="1200">
              <a:solidFill>
                <a:schemeClr val="bg1"/>
              </a:solidFill>
            </a:rPr>
            <a:t>offer</a:t>
          </a:r>
          <a:endParaRPr lang="zh-CN" altLang="en-US" sz="2400" b="1" kern="1200">
            <a:solidFill>
              <a:schemeClr val="bg1"/>
            </a:solidFill>
          </a:endParaRPr>
        </a:p>
      </dsp:txBody>
      <dsp:txXfrm>
        <a:off x="4132529" y="20077"/>
        <a:ext cx="854500" cy="5696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type="chevron" r:blip="" rot="180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type="chevron" r:blip="" rot="180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06D86-C2CB-407C-AD3D-688C41572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</Words>
  <Characters>1081</Characters>
  <Lines>9</Lines>
  <Paragraphs>2</Paragraphs>
  <ScaleCrop>false</ScaleCrop>
  <LinksUpToDate>false</LinksUpToDate>
  <CharactersWithSpaces>1268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2017-02-16T06:51:00Z</dcterms:created>
  <dc:creator>zhangwenjing</dc:creator>
  <cp:lastModifiedBy>Administrator</cp:lastModifiedBy>
  <dcterms:modified xsi:type="dcterms:W3CDTF">2017-02-21T08:24:40Z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