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outlineLvl w:val="2"/>
        <w:rPr>
          <w:rFonts w:hint="eastAsia" w:ascii="华文中宋" w:hAnsi="华文中宋" w:eastAsia="华文中宋" w:cs="宋体"/>
          <w:b/>
          <w:spacing w:val="30"/>
          <w:kern w:val="0"/>
          <w:sz w:val="32"/>
          <w:szCs w:val="32"/>
        </w:rPr>
      </w:pPr>
      <w:r>
        <w:rPr>
          <w:rFonts w:hint="eastAsia" w:ascii="华文中宋" w:hAnsi="华文中宋" w:eastAsia="华文中宋" w:cs="宋体"/>
          <w:b/>
          <w:spacing w:val="30"/>
          <w:kern w:val="0"/>
          <w:sz w:val="32"/>
          <w:szCs w:val="32"/>
        </w:rPr>
        <w:t>阜阳师范学院2019年人才招聘方案</w:t>
      </w:r>
    </w:p>
    <w:p>
      <w:pPr>
        <w:widowControl/>
        <w:shd w:val="clear" w:color="auto" w:fill="FFFFFF"/>
        <w:spacing w:line="500" w:lineRule="exact"/>
        <w:jc w:val="center"/>
        <w:outlineLvl w:val="2"/>
        <w:rPr>
          <w:rFonts w:hint="eastAsia" w:ascii="华文中宋" w:hAnsi="华文中宋" w:eastAsia="华文中宋" w:cs="宋体"/>
          <w:b/>
          <w:spacing w:val="30"/>
          <w:kern w:val="0"/>
          <w:sz w:val="32"/>
          <w:szCs w:val="32"/>
        </w:rPr>
      </w:pPr>
    </w:p>
    <w:p>
      <w:pPr>
        <w:widowControl/>
        <w:shd w:val="clear" w:color="auto" w:fill="FFFFFF"/>
        <w:spacing w:line="500" w:lineRule="exact"/>
        <w:ind w:firstLine="640"/>
        <w:jc w:val="left"/>
        <w:rPr>
          <w:rFonts w:hint="eastAsia" w:ascii="华文中宋" w:hAnsi="华文中宋" w:eastAsia="华文中宋" w:cs="宋体"/>
          <w:b/>
          <w:spacing w:val="30"/>
          <w:kern w:val="0"/>
          <w:sz w:val="32"/>
          <w:szCs w:val="32"/>
        </w:rPr>
      </w:pPr>
      <w:r>
        <w:rPr>
          <w:rFonts w:hint="eastAsia" w:ascii="仿宋_GB2312" w:hAnsi="微软雅黑" w:eastAsia="仿宋_GB2312" w:cs="宋体"/>
          <w:kern w:val="0"/>
          <w:sz w:val="28"/>
          <w:szCs w:val="28"/>
        </w:rPr>
        <w:t>阜阳师范学院坐落在中原经济区东部门户城市、皖西北重镇——阜阳。学校创办于1956年，1977年开始招收本科生，1978年获批设立阜阳师范学院，2009年增列为国家级立项建设硕士学位授权单位并启动研究生培养。2008年教育部本科教学工作水平评估获得“优秀”等级，2017年，顺利通过本科教学工作审核评估</w:t>
      </w:r>
      <w:r>
        <w:rPr>
          <w:rFonts w:hint="eastAsia" w:ascii="仿宋_GB2312" w:hAnsi="微软雅黑" w:eastAsia="仿宋_GB2312" w:cs="宋体"/>
          <w:kern w:val="0"/>
          <w:sz w:val="28"/>
          <w:szCs w:val="28"/>
          <w:lang w:eastAsia="zh-CN"/>
        </w:rPr>
        <w:t>。</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为做好2019年人才引进工作，构建一支业务精湛、充满活力的高水平师资队伍和高效精干的管理队伍，加快推进特色鲜明的地方性应用型高水平师范大学建设，根据《安徽省事业单位公开招聘人员暂行办法》等文件要求，现将2019年人才招聘工作方案公布如下：</w:t>
      </w:r>
    </w:p>
    <w:p>
      <w:pPr>
        <w:widowControl/>
        <w:shd w:val="clear" w:color="auto" w:fill="FFFFFF"/>
        <w:spacing w:line="500" w:lineRule="exact"/>
        <w:ind w:firstLine="643"/>
        <w:jc w:val="left"/>
        <w:rPr>
          <w:rFonts w:ascii="黑体" w:hAnsi="黑体" w:eastAsia="黑体" w:cs="宋体"/>
          <w:b/>
          <w:bCs/>
          <w:kern w:val="0"/>
          <w:sz w:val="28"/>
          <w:szCs w:val="28"/>
        </w:rPr>
      </w:pPr>
      <w:r>
        <w:rPr>
          <w:rFonts w:hint="eastAsia" w:ascii="黑体" w:hAnsi="黑体" w:eastAsia="黑体" w:cs="宋体"/>
          <w:b/>
          <w:bCs/>
          <w:kern w:val="0"/>
          <w:sz w:val="28"/>
          <w:szCs w:val="28"/>
          <w:lang w:eastAsia="zh-CN"/>
        </w:rPr>
        <w:t>一</w:t>
      </w:r>
      <w:r>
        <w:rPr>
          <w:rFonts w:hint="eastAsia" w:ascii="黑体" w:hAnsi="黑体" w:eastAsia="黑体" w:cs="宋体"/>
          <w:b/>
          <w:bCs/>
          <w:kern w:val="0"/>
          <w:sz w:val="28"/>
          <w:szCs w:val="28"/>
        </w:rPr>
        <w:t>、招聘条件</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1.思想政治条件：遵守党纪国法，坚持四项基本原则，忠诚党和人民的教育事业，具有较高的思想政治素质与良好的品行。</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2.学历专业要求：人才引进要求学历和专业背景良好，符合我校公布的招聘计划要求，本科及以上且学历学位双证齐全。</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中外合作办学机构颁发的外国教育机构本科及以上学历学位证书的，国内高考成绩应达到高考当年所在地普通高校招生本科最低录取控制分数线；香港、澳门大学学历的人员学历必须经国家教育行政主管部门认可；国外学校颁发的学历学位证书要有教育部留学服务中心的学历、学位认证。</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3.年龄要求：本科毕业生25周岁以下（1994年1月1日以后出生）；硕士研究生30周岁以下（1989年1月1日以后出生）；博士研究生45周岁以下（1974年1月1日以后出生）；具有博士学历学位的副教授或特别优秀的博士年龄可适当放宽；教授50周岁以下（1969年1月1日以后出生）。</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4.在2019年进人计划中另有要求的，需按照进人计划中具体岗位要求执行。</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5.健康条件：具有良好的身体和心理素质，能胜任本职工作，符合体检标准（具体参照《公务员录用体检通用标准及操作手册（试行）》和规程等有关文件执行）。</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6.录用条件：有法律、法规、政策规定不得聘用情形的人员，不予聘用。</w:t>
      </w:r>
    </w:p>
    <w:p>
      <w:pPr>
        <w:widowControl/>
        <w:shd w:val="clear" w:color="auto" w:fill="FFFFFF"/>
        <w:spacing w:line="500" w:lineRule="exact"/>
        <w:ind w:firstLine="643"/>
        <w:jc w:val="left"/>
        <w:rPr>
          <w:rFonts w:ascii="黑体" w:hAnsi="黑体" w:eastAsia="黑体" w:cs="宋体"/>
          <w:b/>
          <w:bCs/>
          <w:kern w:val="0"/>
          <w:sz w:val="28"/>
          <w:szCs w:val="28"/>
        </w:rPr>
      </w:pPr>
      <w:r>
        <w:rPr>
          <w:rFonts w:hint="eastAsia" w:ascii="黑体" w:hAnsi="黑体" w:eastAsia="黑体" w:cs="宋体"/>
          <w:b/>
          <w:bCs/>
          <w:kern w:val="0"/>
          <w:sz w:val="28"/>
          <w:szCs w:val="28"/>
          <w:lang w:eastAsia="zh-CN"/>
        </w:rPr>
        <w:t>二</w:t>
      </w:r>
      <w:r>
        <w:rPr>
          <w:rFonts w:hint="eastAsia" w:ascii="黑体" w:hAnsi="黑体" w:eastAsia="黑体" w:cs="宋体"/>
          <w:b/>
          <w:bCs/>
          <w:kern w:val="0"/>
          <w:sz w:val="28"/>
          <w:szCs w:val="28"/>
        </w:rPr>
        <w:t>、考核组织</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考核主体：学校新进人员考核由学校统一组织，其中，博士、副教授及以上职称者由学院考核为主，可根据需要邀请人事处、教务处、科研处和监察处人员参加，在规定的时间内进行考核；硕士及以下学历人员由学校负责组织考核，每年根据需要定期举行。</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2.考核方式：</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（1）占编引进人员考核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考核前，用人单位填写《应聘人员基本信息一览表》交人事处，同时负责组织有学院党政主要负责人、专业负责人（或教研室负责人）及外单位相关学科专家等人员参加的7人及以上考核组，对拟引进的教学科研人员的专业知识、教学技能、学术水平、科研潜力、综合素质和学术道德等方面进行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（2）人事代理方式聘用人员考核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人事代理人员的考核分为用人单位考核和学校考核两部分，用人单位考核其学术能力和专业知识，学校考核其教学技能和综合素质。</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①每个岗位的应聘人员比例不低于1:3，进人计划中标记星号的岗位不低于1:2，实际应聘人员在用人单位和学校考核时均需达到上述比例，达不到上述比例的，该岗位取消，符合其他岗位应聘条件的，可以转报其他岗位。</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②用人单位考核小组负责组织有本学科及相关学科专家参加的考核组（7人及以上），对拟引进的教学科研人员的专业知识、学术水平、科研潜力和学术道德等方面进行考核。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③用人单位根据考核结果按照招聘岗位数1：3（进人计划中标记星号的岗位按照1：2）比例推荐应聘者到学校参与考核。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④学校组织专家组（专家不少于7人，其中校外专家不少于4人，要求副高以上职称）对应聘教学科研岗位人员的教师基本素质和课堂教学技能进行考核。</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⑤考分统计：学校考核打分采用百分制，去掉最高、最低分以后的平均分，即为应聘人员的最终得分，最终得分低于75分的人员，学校不予录用。</w:t>
      </w:r>
    </w:p>
    <w:p>
      <w:pPr>
        <w:widowControl/>
        <w:shd w:val="clear" w:color="auto" w:fill="FFFFFF"/>
        <w:spacing w:line="500" w:lineRule="exact"/>
        <w:ind w:firstLine="643"/>
        <w:jc w:val="left"/>
        <w:rPr>
          <w:rFonts w:ascii="黑体" w:hAnsi="黑体" w:eastAsia="黑体" w:cs="宋体"/>
          <w:b/>
          <w:bCs/>
          <w:kern w:val="0"/>
          <w:sz w:val="28"/>
          <w:szCs w:val="28"/>
        </w:rPr>
      </w:pPr>
      <w:r>
        <w:rPr>
          <w:rFonts w:hint="eastAsia" w:ascii="黑体" w:hAnsi="黑体" w:eastAsia="黑体" w:cs="宋体"/>
          <w:b/>
          <w:bCs/>
          <w:kern w:val="0"/>
          <w:sz w:val="28"/>
          <w:szCs w:val="28"/>
          <w:lang w:eastAsia="zh-CN"/>
        </w:rPr>
        <w:t>三</w:t>
      </w:r>
      <w:r>
        <w:rPr>
          <w:rFonts w:hint="eastAsia" w:ascii="黑体" w:hAnsi="黑体" w:eastAsia="黑体" w:cs="宋体"/>
          <w:b/>
          <w:bCs/>
          <w:kern w:val="0"/>
          <w:sz w:val="28"/>
          <w:szCs w:val="28"/>
        </w:rPr>
        <w:t>、应聘流程</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报名：对于学校集中考核岗位，自集中招聘考核日程安排公布之日起开始接受报名，报名时间不少于7个工作日，电子简历接收截止到学校考核前三天（不含考核当天）中午11:30。应聘人员应按照招聘文件要求的方式和规定时间将电子简历发送到用人单位邮箱。通过资格初审且岗位未取消的报考者为有效报名人员。</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学校集中考核时，应聘人员每人限报1个岗位，符合条件的可以兼报专职辅导员岗位。</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2.资格确认：应聘人员参加考核时均应在规定的时间按照要求进行现场资格确认、填写承诺书，学校和用人单位根据年度进人计划，严格审核应聘者年龄、专业等资格条件。</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3.考察录用：应聘者通过考核方有被录取资格；入围多个岗位聘用名次的人员可选择岗位；入围人员须参加学校组织的体检和心理测试，合格后，报校长办公会研究确定拟聘人员，占编引进人员报上级批准后办理入编手续。</w:t>
      </w:r>
    </w:p>
    <w:p>
      <w:pPr>
        <w:widowControl/>
        <w:shd w:val="clear" w:color="auto" w:fill="FFFFFF"/>
        <w:spacing w:line="500" w:lineRule="exact"/>
        <w:ind w:firstLine="643"/>
        <w:jc w:val="left"/>
        <w:rPr>
          <w:rFonts w:ascii="黑体" w:hAnsi="黑体" w:eastAsia="黑体" w:cs="宋体"/>
          <w:b/>
          <w:bCs/>
          <w:kern w:val="0"/>
          <w:sz w:val="28"/>
          <w:szCs w:val="28"/>
        </w:rPr>
      </w:pPr>
      <w:r>
        <w:rPr>
          <w:rFonts w:hint="eastAsia" w:ascii="黑体" w:hAnsi="黑体" w:eastAsia="黑体" w:cs="宋体"/>
          <w:b/>
          <w:bCs/>
          <w:kern w:val="0"/>
          <w:sz w:val="28"/>
          <w:szCs w:val="28"/>
          <w:lang w:eastAsia="zh-CN"/>
        </w:rPr>
        <w:t>四</w:t>
      </w:r>
      <w:r>
        <w:rPr>
          <w:rFonts w:hint="eastAsia" w:ascii="黑体" w:hAnsi="黑体" w:eastAsia="黑体" w:cs="宋体"/>
          <w:b/>
          <w:bCs/>
          <w:kern w:val="0"/>
          <w:sz w:val="28"/>
          <w:szCs w:val="28"/>
        </w:rPr>
        <w:t>、相关事宜</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1.学校进人计划以考核领导小组办公室发布为准，各用人单位只发布单位考核的具体时间、地点、考核内容、考核形式等具体事项。</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2.信息工程学院、教育集团的进人考核由用人单位单独组织、单独聘用。</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3.考核领导小组办公室视申请报名情况安排集中考核时间、地点。具体要求、考核内容、时间和地点由考核办公室按照规定提前在网上公布。</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4.在学校公示结束前以及公示期间的异议没有结论前，所公示的结果不是最终有效结论。</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5.拟聘人员应当于学校规定报到期限内提供所需最终学历、学位证书（海外归国人员的学历、学位需同时提供由教育部相关学历认证机构的认证证明）以及其他证明材料原件。届时未能提供证书、证明原件的拟聘用人员，取消聘用资格。</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6.符合条件的录用人员放弃聘用岗位或者拟聘用人员的资格被取消的，从该岗位符合录用条件的其他人员中按照分数高低依次递补，递补只进行一次且不再顺延。</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7.本办法适用于我校2019年计划招聘人员的考核；对高层次优秀人才的考核考察，可采取灵活多样的方式。</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8.招聘岗位要求的学科、专业的认定以国务院学位办《授予博士、硕士学位和培养研究生的学科、专业目录》等权威机构发布的标准认定。</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9.对于人才待遇兑现要求提供的学术、专利等成果认定的截止时间一律以学校人才引进归属年份的12月31日前所取得的业绩成果（以相关文件落款、期刊出版时间为准，不含录用通知等）为准。</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10.各单位在专业审核过程中务必要做到严格把关，成立资格审核小组，全面负责来聘人员的专业、学历等方面的资格审核，并将经资格审核小组负责人签字、单位盖章后的审核结果报人事处。</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11.各用人单位在集中招聘考核过程中使用的考核方法应严格与学校的考核方式保持一致，如有实践考核环节，应将具体考核标准和考核方法上报学校人事处备案。</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12.阜阳师范学院2019年具体岗位招聘需要和人才引进政策详见《阜阳师范学院2019年教学科研岗位招聘计划》和《阜阳师范学院人才政策摘要》。</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13.专职辅导员及机关教辅单位人员的考核由学校统一进行，具体考核方式见相应的招聘公告。</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14.本招聘方案及招聘计划（占编引进人员）待上级部门批准，最终以上级部门批准通过的方案、计划为准。</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15.本办法由人事处负责解释。</w:t>
      </w:r>
    </w:p>
    <w:p>
      <w:pPr>
        <w:widowControl/>
        <w:shd w:val="clear" w:color="auto" w:fill="FFFFFF"/>
        <w:spacing w:line="500" w:lineRule="exact"/>
        <w:ind w:firstLine="643"/>
        <w:jc w:val="left"/>
        <w:rPr>
          <w:rFonts w:ascii="黑体" w:hAnsi="黑体" w:eastAsia="黑体" w:cs="宋体"/>
          <w:b/>
          <w:bCs/>
          <w:kern w:val="0"/>
          <w:sz w:val="28"/>
          <w:szCs w:val="28"/>
        </w:rPr>
      </w:pPr>
      <w:r>
        <w:rPr>
          <w:rFonts w:hint="eastAsia" w:ascii="黑体" w:hAnsi="黑体" w:eastAsia="黑体" w:cs="宋体"/>
          <w:b/>
          <w:bCs/>
          <w:kern w:val="0"/>
          <w:sz w:val="28"/>
          <w:szCs w:val="28"/>
          <w:lang w:eastAsia="zh-CN"/>
        </w:rPr>
        <w:t>五</w:t>
      </w:r>
      <w:r>
        <w:rPr>
          <w:rFonts w:hint="eastAsia" w:ascii="黑体" w:hAnsi="黑体" w:eastAsia="黑体" w:cs="宋体"/>
          <w:b/>
          <w:bCs/>
          <w:kern w:val="0"/>
          <w:sz w:val="28"/>
          <w:szCs w:val="28"/>
        </w:rPr>
        <w:t>、联系方式</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地址：安徽省阜阳市清河西路100号　阜阳师范学院人事处  邮编：236037</w:t>
      </w:r>
    </w:p>
    <w:p>
      <w:pPr>
        <w:widowControl/>
        <w:shd w:val="clear" w:color="auto" w:fill="FFFFFF"/>
        <w:spacing w:line="500" w:lineRule="exact"/>
        <w:ind w:firstLine="640"/>
        <w:jc w:val="left"/>
        <w:rPr>
          <w:rFonts w:hint="eastAsia" w:ascii="仿宋_GB2312" w:hAnsi="微软雅黑" w:eastAsia="仿宋_GB2312" w:cs="宋体"/>
          <w:kern w:val="0"/>
          <w:sz w:val="28"/>
          <w:szCs w:val="28"/>
          <w:lang w:eastAsia="zh-CN"/>
        </w:rPr>
      </w:pPr>
      <w:r>
        <w:rPr>
          <w:rFonts w:hint="eastAsia" w:ascii="仿宋_GB2312" w:hAnsi="微软雅黑" w:eastAsia="仿宋_GB2312" w:cs="宋体"/>
          <w:kern w:val="0"/>
          <w:sz w:val="28"/>
          <w:szCs w:val="28"/>
        </w:rPr>
        <w:t>人事处招聘邮箱:</w:t>
      </w:r>
      <w:r>
        <w:rPr>
          <w:rFonts w:hint="eastAsia" w:ascii="仿宋_GB2312" w:hAnsi="微软雅黑" w:eastAsia="仿宋_GB2312" w:cs="宋体"/>
          <w:color w:val="000000" w:themeColor="text1"/>
          <w:kern w:val="0"/>
          <w:sz w:val="28"/>
          <w:szCs w:val="28"/>
          <w:u w:val="none"/>
          <w14:textFill>
            <w14:solidFill>
              <w14:schemeClr w14:val="tx1"/>
            </w14:solidFill>
          </w14:textFill>
        </w:rPr>
        <w:t xml:space="preserve"> </w:t>
      </w:r>
      <w:r>
        <w:rPr>
          <w:rFonts w:hint="eastAsia" w:ascii="仿宋_GB2312" w:hAnsi="微软雅黑" w:eastAsia="仿宋_GB2312" w:cs="宋体"/>
          <w:color w:val="000000" w:themeColor="text1"/>
          <w:kern w:val="0"/>
          <w:sz w:val="28"/>
          <w:szCs w:val="28"/>
          <w:u w:val="none"/>
          <w14:textFill>
            <w14:solidFill>
              <w14:schemeClr w14:val="tx1"/>
            </w14:solidFill>
          </w14:textFill>
        </w:rPr>
        <w:fldChar w:fldCharType="begin"/>
      </w:r>
      <w:r>
        <w:rPr>
          <w:rFonts w:hint="eastAsia" w:ascii="仿宋_GB2312" w:hAnsi="微软雅黑" w:eastAsia="仿宋_GB2312" w:cs="宋体"/>
          <w:color w:val="000000" w:themeColor="text1"/>
          <w:kern w:val="0"/>
          <w:sz w:val="28"/>
          <w:szCs w:val="28"/>
          <w:u w:val="none"/>
          <w14:textFill>
            <w14:solidFill>
              <w14:schemeClr w14:val="tx1"/>
            </w14:solidFill>
          </w14:textFill>
        </w:rPr>
        <w:instrText xml:space="preserve"> HYPERLINK "mailto:fysdrsc@126.com、fync_rsc@163.com" </w:instrText>
      </w:r>
      <w:r>
        <w:rPr>
          <w:rFonts w:hint="eastAsia" w:ascii="仿宋_GB2312" w:hAnsi="微软雅黑" w:eastAsia="仿宋_GB2312" w:cs="宋体"/>
          <w:color w:val="000000" w:themeColor="text1"/>
          <w:kern w:val="0"/>
          <w:sz w:val="28"/>
          <w:szCs w:val="28"/>
          <w:u w:val="none"/>
          <w14:textFill>
            <w14:solidFill>
              <w14:schemeClr w14:val="tx1"/>
            </w14:solidFill>
          </w14:textFill>
        </w:rPr>
        <w:fldChar w:fldCharType="separate"/>
      </w:r>
      <w:r>
        <w:rPr>
          <w:rStyle w:val="4"/>
          <w:rFonts w:hint="eastAsia" w:ascii="仿宋_GB2312" w:hAnsi="微软雅黑" w:eastAsia="仿宋_GB2312" w:cs="宋体"/>
          <w:color w:val="000000" w:themeColor="text1"/>
          <w:kern w:val="0"/>
          <w:sz w:val="28"/>
          <w:szCs w:val="28"/>
          <w:u w:val="none"/>
          <w14:textFill>
            <w14:solidFill>
              <w14:schemeClr w14:val="tx1"/>
            </w14:solidFill>
          </w14:textFill>
        </w:rPr>
        <w:t>fysdrsc@126.com</w:t>
      </w:r>
      <w:r>
        <w:rPr>
          <w:rStyle w:val="4"/>
          <w:rFonts w:hint="eastAsia" w:ascii="仿宋_GB2312" w:hAnsi="微软雅黑" w:eastAsia="仿宋_GB2312" w:cs="宋体"/>
          <w:color w:val="000000" w:themeColor="text1"/>
          <w:kern w:val="0"/>
          <w:sz w:val="28"/>
          <w:szCs w:val="28"/>
          <w:u w:val="none"/>
          <w:lang w:eastAsia="zh-CN"/>
          <w14:textFill>
            <w14:solidFill>
              <w14:schemeClr w14:val="tx1"/>
            </w14:solidFill>
          </w14:textFill>
        </w:rPr>
        <w:t>、</w:t>
      </w:r>
      <w:r>
        <w:rPr>
          <w:rStyle w:val="4"/>
          <w:rFonts w:hint="eastAsia" w:ascii="仿宋_GB2312" w:hAnsi="微软雅黑" w:eastAsia="仿宋_GB2312" w:cs="宋体"/>
          <w:color w:val="000000" w:themeColor="text1"/>
          <w:kern w:val="0"/>
          <w:sz w:val="28"/>
          <w:szCs w:val="28"/>
          <w:u w:val="none"/>
          <w14:textFill>
            <w14:solidFill>
              <w14:schemeClr w14:val="tx1"/>
            </w14:solidFill>
          </w14:textFill>
        </w:rPr>
        <w:t>fync_rsc@163.com</w:t>
      </w:r>
      <w:r>
        <w:rPr>
          <w:rFonts w:hint="eastAsia" w:ascii="仿宋_GB2312" w:hAnsi="微软雅黑" w:eastAsia="仿宋_GB2312" w:cs="宋体"/>
          <w:color w:val="000000" w:themeColor="text1"/>
          <w:kern w:val="0"/>
          <w:sz w:val="28"/>
          <w:szCs w:val="28"/>
          <w:u w:val="none"/>
          <w14:textFill>
            <w14:solidFill>
              <w14:schemeClr w14:val="tx1"/>
            </w14:solidFill>
          </w14:textFill>
        </w:rPr>
        <w:fldChar w:fldCharType="end"/>
      </w:r>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（应聘简历请给各二级学院电子邮箱</w:t>
      </w:r>
      <w:bookmarkStart w:id="0" w:name="_GoBack"/>
      <w:bookmarkEnd w:id="0"/>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投递一份）</w:t>
      </w:r>
    </w:p>
    <w:p>
      <w:pPr>
        <w:widowControl/>
        <w:shd w:val="clear" w:color="auto" w:fill="FFFFFF"/>
        <w:spacing w:line="500" w:lineRule="exact"/>
        <w:ind w:firstLine="640"/>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电</w:t>
      </w:r>
      <w:r>
        <w:rPr>
          <w:rFonts w:hint="eastAsia" w:ascii="仿宋_GB2312" w:hAnsi="微软雅黑" w:eastAsia="仿宋_GB2312" w:cs="宋体"/>
          <w:kern w:val="0"/>
          <w:sz w:val="28"/>
          <w:szCs w:val="28"/>
          <w:lang w:val="en-US" w:eastAsia="zh-CN"/>
        </w:rPr>
        <w:t xml:space="preserve">  </w:t>
      </w:r>
      <w:r>
        <w:rPr>
          <w:rFonts w:hint="eastAsia" w:ascii="仿宋_GB2312" w:hAnsi="微软雅黑" w:eastAsia="仿宋_GB2312" w:cs="宋体"/>
          <w:kern w:val="0"/>
          <w:sz w:val="28"/>
          <w:szCs w:val="28"/>
        </w:rPr>
        <w:t>话</w:t>
      </w:r>
      <w:r>
        <w:rPr>
          <w:rFonts w:hint="eastAsia" w:ascii="仿宋_GB2312" w:hAnsi="微软雅黑" w:eastAsia="仿宋_GB2312" w:cs="宋体"/>
          <w:kern w:val="0"/>
          <w:sz w:val="28"/>
          <w:szCs w:val="28"/>
          <w:lang w:eastAsia="zh-CN"/>
        </w:rPr>
        <w:t>：</w:t>
      </w:r>
      <w:r>
        <w:rPr>
          <w:rFonts w:hint="eastAsia" w:ascii="仿宋_GB2312" w:hAnsi="微软雅黑" w:eastAsia="仿宋_GB2312" w:cs="宋体"/>
          <w:kern w:val="0"/>
          <w:sz w:val="28"/>
          <w:szCs w:val="28"/>
        </w:rPr>
        <w:t>0558-2596798</w:t>
      </w:r>
      <w:r>
        <w:rPr>
          <w:rFonts w:hint="eastAsia" w:ascii="仿宋_GB2312" w:hAnsi="微软雅黑" w:eastAsia="仿宋_GB2312" w:cs="宋体"/>
          <w:kern w:val="0"/>
          <w:sz w:val="28"/>
          <w:szCs w:val="28"/>
          <w:lang w:val="en-US" w:eastAsia="zh-CN"/>
        </w:rPr>
        <w:t xml:space="preserve"> </w:t>
      </w:r>
      <w:r>
        <w:rPr>
          <w:rFonts w:hint="eastAsia" w:ascii="仿宋_GB2312" w:hAnsi="微软雅黑" w:eastAsia="仿宋_GB2312" w:cs="宋体"/>
          <w:kern w:val="0"/>
          <w:sz w:val="28"/>
          <w:szCs w:val="28"/>
        </w:rPr>
        <w:t>杨老师</w:t>
      </w:r>
    </w:p>
    <w:p>
      <w:pPr>
        <w:widowControl/>
        <w:shd w:val="clear" w:color="auto" w:fill="FFFFFF"/>
        <w:spacing w:line="500" w:lineRule="exact"/>
        <w:ind w:firstLine="640"/>
        <w:jc w:val="left"/>
        <w:rPr>
          <w:rFonts w:hint="eastAsia"/>
          <w:color w:val="000000" w:themeColor="text1"/>
          <w:u w:val="none"/>
          <w14:textFill>
            <w14:solidFill>
              <w14:schemeClr w14:val="tx1"/>
            </w14:solidFill>
          </w14:textFill>
        </w:rPr>
      </w:pPr>
      <w:r>
        <w:rPr>
          <w:rFonts w:hint="eastAsia" w:ascii="仿宋_GB2312" w:hAnsi="微软雅黑" w:eastAsia="仿宋_GB2312" w:cs="宋体"/>
          <w:kern w:val="0"/>
          <w:sz w:val="28"/>
          <w:szCs w:val="28"/>
        </w:rPr>
        <w:t>招聘网址：</w:t>
      </w:r>
      <w:r>
        <w:rPr>
          <w:rFonts w:hint="eastAsia" w:ascii="仿宋_GB2312" w:hAnsi="微软雅黑" w:eastAsia="仿宋_GB2312" w:cs="宋体"/>
          <w:kern w:val="0"/>
          <w:sz w:val="28"/>
          <w:szCs w:val="28"/>
        </w:rPr>
        <w:fldChar w:fldCharType="begin"/>
      </w:r>
      <w:r>
        <w:rPr>
          <w:rFonts w:hint="eastAsia" w:ascii="仿宋_GB2312" w:hAnsi="微软雅黑" w:eastAsia="仿宋_GB2312" w:cs="宋体"/>
          <w:kern w:val="0"/>
          <w:sz w:val="28"/>
          <w:szCs w:val="28"/>
        </w:rPr>
        <w:instrText xml:space="preserve"> HYPERLINK "http://zhaopin.91boshi.net/html/fuysfxy/index.html" </w:instrText>
      </w:r>
      <w:r>
        <w:rPr>
          <w:rFonts w:hint="eastAsia" w:ascii="仿宋_GB2312" w:hAnsi="微软雅黑" w:eastAsia="仿宋_GB2312" w:cs="宋体"/>
          <w:kern w:val="0"/>
          <w:sz w:val="28"/>
          <w:szCs w:val="28"/>
        </w:rPr>
        <w:fldChar w:fldCharType="separate"/>
      </w:r>
      <w:r>
        <w:rPr>
          <w:rFonts w:hint="eastAsia" w:ascii="仿宋_GB2312" w:hAnsi="微软雅黑" w:eastAsia="仿宋_GB2312" w:cs="宋体"/>
          <w:kern w:val="0"/>
          <w:sz w:val="28"/>
          <w:szCs w:val="28"/>
        </w:rPr>
        <w:t>http://zhaopin.91boshi.net/html/fuysfxy/index.html</w:t>
      </w:r>
      <w:r>
        <w:rPr>
          <w:rFonts w:hint="eastAsia" w:ascii="仿宋_GB2312" w:hAnsi="微软雅黑" w:eastAsia="仿宋_GB2312" w:cs="宋体"/>
          <w:kern w:val="0"/>
          <w:sz w:val="28"/>
          <w:szCs w:val="28"/>
        </w:rPr>
        <w:fldChar w:fldCharType="end"/>
      </w:r>
    </w:p>
    <w:p>
      <w:pPr>
        <w:widowControl/>
        <w:shd w:val="clear" w:color="auto" w:fill="FFFFFF"/>
        <w:spacing w:line="500" w:lineRule="exact"/>
        <w:ind w:firstLine="640"/>
        <w:jc w:val="left"/>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附件：1.阜阳师范学院2019年教学科研岗位招聘计划</w:t>
      </w:r>
    </w:p>
    <w:tbl>
      <w:tblPr>
        <w:tblStyle w:val="2"/>
        <w:tblW w:w="14300" w:type="dxa"/>
        <w:jc w:val="center"/>
        <w:tblInd w:w="0" w:type="dxa"/>
        <w:shd w:val="clear" w:color="auto" w:fill="auto"/>
        <w:tblLayout w:type="fixed"/>
        <w:tblCellMar>
          <w:top w:w="0" w:type="dxa"/>
          <w:left w:w="0" w:type="dxa"/>
          <w:bottom w:w="0" w:type="dxa"/>
          <w:right w:w="0" w:type="dxa"/>
        </w:tblCellMar>
      </w:tblPr>
      <w:tblGrid>
        <w:gridCol w:w="408"/>
        <w:gridCol w:w="744"/>
        <w:gridCol w:w="1169"/>
        <w:gridCol w:w="916"/>
        <w:gridCol w:w="783"/>
        <w:gridCol w:w="942"/>
        <w:gridCol w:w="1920"/>
        <w:gridCol w:w="1921"/>
        <w:gridCol w:w="1916"/>
        <w:gridCol w:w="2179"/>
        <w:gridCol w:w="1402"/>
      </w:tblGrid>
      <w:tr>
        <w:tblPrEx>
          <w:shd w:val="clear" w:color="auto" w:fill="auto"/>
          <w:tblLayout w:type="fixed"/>
          <w:tblCellMar>
            <w:top w:w="0" w:type="dxa"/>
            <w:left w:w="0" w:type="dxa"/>
            <w:bottom w:w="0" w:type="dxa"/>
            <w:right w:w="0" w:type="dxa"/>
          </w:tblCellMar>
        </w:tblPrEx>
        <w:trPr>
          <w:trHeight w:val="521" w:hRule="atLeast"/>
          <w:jc w:val="center"/>
        </w:trPr>
        <w:tc>
          <w:tcPr>
            <w:tcW w:w="143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8"/>
                <w:szCs w:val="38"/>
                <w:u w:val="none"/>
              </w:rPr>
            </w:pPr>
            <w:r>
              <w:rPr>
                <w:rFonts w:hint="eastAsia" w:ascii="华文中宋" w:hAnsi="华文中宋" w:eastAsia="华文中宋" w:cs="华文中宋"/>
                <w:b/>
                <w:i w:val="0"/>
                <w:color w:val="000000"/>
                <w:kern w:val="0"/>
                <w:sz w:val="38"/>
                <w:szCs w:val="38"/>
                <w:u w:val="none"/>
                <w:lang w:val="en-US" w:eastAsia="zh-CN" w:bidi="ar"/>
              </w:rPr>
              <w:t>阜阳师范学院2019年教学科研岗位招聘计划</w:t>
            </w:r>
          </w:p>
        </w:tc>
      </w:tr>
      <w:tr>
        <w:tblPrEx>
          <w:tblLayout w:type="fixed"/>
          <w:tblCellMar>
            <w:top w:w="0" w:type="dxa"/>
            <w:left w:w="0" w:type="dxa"/>
            <w:bottom w:w="0" w:type="dxa"/>
            <w:right w:w="0" w:type="dxa"/>
          </w:tblCellMar>
        </w:tblPrEx>
        <w:trPr>
          <w:trHeight w:val="470"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用人单位</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计划数</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性质</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（学位）</w:t>
            </w:r>
          </w:p>
        </w:tc>
        <w:tc>
          <w:tcPr>
            <w:tcW w:w="57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学历专业条件</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联系方式</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（联系人、联系电话和电子邮箱）</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470"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博士</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硕士</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本科</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汉语言文字学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汉语言文字学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18298191978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zhangjin1981311@sohu.com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★新闻传播学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新闻传播类</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新闻传播类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新闻传播类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网络与新媒体</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网络与新媒体</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网络与新媒体</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汉语言文字学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汉语言文字学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本岗位年龄可适当放宽</w:t>
            </w:r>
          </w:p>
        </w:tc>
      </w:tr>
      <w:tr>
        <w:tblPrEx>
          <w:tblLayout w:type="fixed"/>
          <w:tblCellMar>
            <w:top w:w="0" w:type="dxa"/>
            <w:left w:w="0" w:type="dxa"/>
            <w:bottom w:w="0" w:type="dxa"/>
            <w:right w:w="0" w:type="dxa"/>
          </w:tblCellMar>
        </w:tblPrEx>
        <w:trPr>
          <w:trHeight w:val="940"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英语教师</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英语教育（含TESOL、学科教学论）、英语语言学、英美文学、英语翻译</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英语教育（含TESOL、学科教学论）、英语语言学、英美文学、英语翻译</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英语、英语教育、英语翻译、商务英语</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0558-2591011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wyx@fync.edu.cn</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40"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英语教师</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英语教育（含TESOL、学科教学论）、英语语言学、英美文学、英语翻译</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英语、英语教育、英语翻译、商务英语</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外国哲学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0558-2591100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756602512@qq.com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行政管理、公共事业管理、劳动与社会保障、城市管理</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司法文书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本岗位年龄可适当放宽</w:t>
            </w: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理论经济学、应用经济学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0558-2591383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milawyer@163.com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电子商务</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管理科学与工程、电子商务</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农业工程</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农业工程</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管理科学与工程</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工学类或管理学类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工商管理方向</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0558-2596897</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2352750136@qq.com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物流管理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物流方向</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人力资源管理方向</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财务管理、会计学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财务管理、会计学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财务管理、会计学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本岗位年龄可适当放宽</w:t>
            </w: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历史文化与旅游学院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工商管理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旅游管理(会展经济与管理)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旅游管理类</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0558-2591166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442567937@qq.com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工商管理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旅游管理、经济学、计算机科学与技术</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历史地理学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历史地理学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音乐舞蹈学院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作曲与作曲技术理论</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作曲与作曲技术理论</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音乐表演、音乐学、作曲与作曲技术理论</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侯院长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13705586266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1354461359@qq.com </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★舞蹈学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舞蹈表演、舞蹈学、舞蹈编导</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舞蹈表演、舞蹈学、舞蹈编导</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舞蹈表演、舞蹈学、舞蹈编导</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24"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体育舞蹈</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体育人文社会学、体育教育训练学、民族传统体育学</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体育人文社会学、体育教育训练学、体育</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体育教育、运动训练、表演</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0558-2591812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157335101@qq.com</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24"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健美操</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★体育人文社会学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体育人文社会学、体育教育训练学、民族传统体育学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体育学、体育人文社会学、体育教育训练学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体育教育、运动训练</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★环境设计</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美术学类、设计学类</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0558-2596362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119889450@qq.com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★视觉传达设计</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美术学类、设计学类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博士或教授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数学与统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计学院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基础数学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基础数学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盛院长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0558-2591520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xingpingsheng@163.com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计算数学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计算数学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应用数学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应用数学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概率论与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数理统计</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概率论与数理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统计</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、应用统计学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统计学、应用统计学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统计学、应用统计学</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9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物理与电子工程学院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物理学类</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理论物理、粒子物理与原子核物理、原子与分子物理、等离子体物理、 凝聚态物理、声学、 光学、无线电物理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物理学类</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李院长、顾老师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0558-2591386、0558-2591496、1329118331@qq.com1425398137@qq.com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7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课程与教学论</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课程与教学论</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课程与教学论(物理、科学教育)</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3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★电气工程及其自动化</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电机与电器、电力系统及其自动化、高电压与绝缘技术 、电力电子与电力传动</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电子信息类、计算机类、电气类、数学类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★电子信息科学与技术</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电路与系统、物理电子学、微电子学与固体电子学、电磁场与微波技术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电子信息类、计算机类、电气类、数学类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9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计算机类、控制科学与工程类</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计算机应用技术、软件工程、模式识别与智能系统、检测技术与自动化装置</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计算机类、控制科学与工程、自动化类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0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物理与电子实验室实验员</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实验系列</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物理学类、电子信息类、机械工程类、材料类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物理学类、电子信息类、机械工程类、材料类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5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机电技术教育</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博士或副教授及以上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机电技术教育</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本岗位年龄等条件可适当放宽</w:t>
            </w:r>
          </w:p>
        </w:tc>
      </w:tr>
      <w:tr>
        <w:tblPrEx>
          <w:tblLayout w:type="fixed"/>
          <w:tblCellMar>
            <w:top w:w="0" w:type="dxa"/>
            <w:left w:w="0" w:type="dxa"/>
            <w:bottom w:w="0" w:type="dxa"/>
            <w:right w:w="0" w:type="dxa"/>
          </w:tblCellMar>
        </w:tblPrEx>
        <w:trPr>
          <w:trHeight w:val="59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空间物理</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空间物理</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9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98"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化学与材料工程学院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实验系列</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0558-2596249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fynchx@126.com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98"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实验系列</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9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材料加工工程</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材料加工工程</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材料加工工程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0"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无机化学、有机化学、分析化学、物理化学、高分子化学与物理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无机化学、有机化学、分析化学、物理化学、食品、生物、化学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化学、食品、生物</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5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药学、中药学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药学、中药学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药学、中药学</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5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高分子化学与物理</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高分子化学与物理</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5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科研平台</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材料科学与工程</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5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科研平台</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有机化学</w:t>
            </w: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48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生物制药</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中药学、药理学、药剂学、药物分析学、生药学、药物化学、微生物与生化药学、生物医学工程、植物学、作物遗传育种、遗传学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中药学、药理学、药剂学、药物分析学、生药学、药物化学、微生物与生化药学、生物医学工程、生物化学与分子生物学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生物制药、中药学、药学、应用药学、药物制剂、制药工程、食品科学与工程</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0558-2596148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374990969@qq.com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06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食品质量与安全</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食品科学、农产品加工及贮藏工程、粮食油脂及植物蛋白工程、营养与食品卫生学、制糖工程、卫生毒理学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食品质量与安全、农产品加工及贮藏工程、食品科学与工程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食品质量与安全、食品科学与工程、食品卫生与营养学、公共卫生与预防医学类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0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实验室管理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实验系列</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城市规划与设计</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风景园林、景观学、景观建筑设计</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3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实验室管理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实验系列</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食品质量与安全、食品科学与工程、生物学、化学、环境科学与工程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食品质量与安全、食品科学与工程、生物科学、化学类、环境科学与工程类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发育生物学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发育生物学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本岗位年龄可适当放宽</w:t>
            </w: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生命信息物理学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生命信息物理学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水生生物学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水生生物学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5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计算机与信息工程学院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★计算机科学与技术</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计算机科学与技术、统计学、模式识别与智能系统、信号与信息处理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计算机科学与技术、统计学、模式识别与智能系统、信号与信息处理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计算机类、电子信息类、数学类、统计学类、自动化类</w:t>
            </w: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0558-2591395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751384025@qq.com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5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★软件工程</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软件工程、计算机软件与理论、计算机应用技术</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软件工程、计算机软件与理论、计算机应用技术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计算机类、电子信息类、数学类、统计学类</w:t>
            </w: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通信与信息系统</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通信与信息系统</w:t>
            </w: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本岗位年龄等条件可适当放宽</w:t>
            </w:r>
          </w:p>
        </w:tc>
      </w:tr>
      <w:tr>
        <w:tblPrEx>
          <w:tblLayout w:type="fixed"/>
          <w:tblCellMar>
            <w:top w:w="0" w:type="dxa"/>
            <w:left w:w="0" w:type="dxa"/>
            <w:bottom w:w="0" w:type="dxa"/>
            <w:right w:w="0" w:type="dxa"/>
          </w:tblCellMar>
        </w:tblPrEx>
        <w:trPr>
          <w:trHeight w:val="638"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教育经济与管理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13905583798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279749647@qq.com</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应用心理学</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基础心理学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★学前教育</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音乐学（钢琴方向）</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音乐学（钢琴方向）</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马克思主义理论、哲学、法学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王老师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15855836866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wangjiyun1976@sohu.com   </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中共党员（含预备党员）</w:t>
            </w: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马克思主义基本原理</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马克思主义理论、哲学、法学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中共党员（含预备党员）</w:t>
            </w:r>
          </w:p>
        </w:tc>
      </w:tr>
      <w:tr>
        <w:tblPrEx>
          <w:tblLayout w:type="fixed"/>
          <w:tblCellMar>
            <w:top w:w="0" w:type="dxa"/>
            <w:left w:w="0" w:type="dxa"/>
            <w:bottom w:w="0" w:type="dxa"/>
            <w:right w:w="0" w:type="dxa"/>
          </w:tblCellMar>
        </w:tblPrEx>
        <w:trPr>
          <w:trHeight w:val="63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科学技术哲学</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w:t>
            </w:r>
          </w:p>
        </w:tc>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科学技术哲学</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85" w:hRule="atLeast"/>
          <w:jc w:val="center"/>
        </w:trPr>
        <w:tc>
          <w:tcPr>
            <w:tcW w:w="14300" w:type="dxa"/>
            <w:gridSpan w:val="11"/>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备注：依据人事代理方式聘用的人员，每个岗位的应聘人员考核比例不低于1:3，但标记★的岗位若为硕士学历则可以按照1:2比例进行考核。</w:t>
            </w:r>
          </w:p>
        </w:tc>
      </w:tr>
    </w:tbl>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p>
      <w:pPr>
        <w:snapToGrid w:val="0"/>
        <w:jc w:val="center"/>
        <w:outlineLvl w:val="0"/>
        <w:rPr>
          <w:rFonts w:ascii="方正小标宋_GBK" w:eastAsia="方正小标宋_GBK"/>
          <w:sz w:val="44"/>
          <w:szCs w:val="44"/>
        </w:rPr>
      </w:pPr>
      <w:r>
        <w:rPr>
          <w:rFonts w:hint="eastAsia" w:ascii="方正小标宋_GBK" w:eastAsia="方正小标宋_GBK"/>
          <w:sz w:val="44"/>
          <w:szCs w:val="44"/>
        </w:rPr>
        <w:t>阜阳师范学院人才政策</w:t>
      </w:r>
      <w:r>
        <w:rPr>
          <w:rFonts w:ascii="方正小标宋_GBK" w:eastAsia="方正小标宋_GBK"/>
          <w:sz w:val="44"/>
          <w:szCs w:val="44"/>
        </w:rPr>
        <w:t>摘要</w:t>
      </w:r>
    </w:p>
    <w:p>
      <w:pPr>
        <w:adjustRightInd w:val="0"/>
        <w:snapToGrid w:val="0"/>
        <w:rPr>
          <w:rFonts w:hint="eastAsia" w:ascii="方正仿宋_GBK"/>
          <w:szCs w:val="32"/>
        </w:rPr>
      </w:pPr>
    </w:p>
    <w:p>
      <w:pPr>
        <w:widowControl/>
        <w:numPr>
          <w:ilvl w:val="0"/>
          <w:numId w:val="1"/>
        </w:numPr>
        <w:spacing w:line="560" w:lineRule="exact"/>
        <w:ind w:left="640"/>
        <w:rPr>
          <w:rFonts w:hint="eastAsia" w:ascii="黑体" w:hAnsi="黑体" w:eastAsia="黑体" w:cs="宋体"/>
          <w:color w:val="000000"/>
          <w:kern w:val="0"/>
          <w:sz w:val="32"/>
          <w:szCs w:val="32"/>
        </w:rPr>
      </w:pPr>
      <w:r>
        <w:rPr>
          <w:rFonts w:hint="eastAsia" w:ascii="黑体" w:hAnsi="黑体" w:eastAsia="黑体" w:cs="宋体"/>
          <w:b/>
          <w:color w:val="000000"/>
          <w:kern w:val="0"/>
          <w:sz w:val="30"/>
          <w:szCs w:val="30"/>
        </w:rPr>
        <w:t>引进人才相关待遇</w:t>
      </w:r>
    </w:p>
    <w:tbl>
      <w:tblPr>
        <w:tblStyle w:val="2"/>
        <w:tblW w:w="12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2216"/>
        <w:gridCol w:w="1461"/>
        <w:gridCol w:w="1459"/>
        <w:gridCol w:w="1462"/>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7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ind w:left="-105" w:leftChars="-50" w:right="-105" w:rightChars="-5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引进人才类别</w:t>
            </w:r>
          </w:p>
        </w:tc>
        <w:tc>
          <w:tcPr>
            <w:tcW w:w="2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ind w:left="-105" w:leftChars="-50" w:right="-105" w:rightChars="-5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安家费</w:t>
            </w:r>
          </w:p>
          <w:p>
            <w:pPr>
              <w:widowControl/>
              <w:snapToGrid w:val="0"/>
              <w:ind w:left="-105" w:leftChars="-50" w:right="-105" w:rightChars="-5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（万元）</w:t>
            </w:r>
          </w:p>
        </w:tc>
        <w:tc>
          <w:tcPr>
            <w:tcW w:w="4382" w:type="dxa"/>
            <w:gridSpan w:val="3"/>
            <w:tcBorders>
              <w:top w:val="single" w:color="auto" w:sz="4" w:space="0"/>
              <w:left w:val="single" w:color="auto" w:sz="4" w:space="0"/>
              <w:bottom w:val="single" w:color="auto" w:sz="4" w:space="0"/>
              <w:right w:val="single" w:color="auto" w:sz="4" w:space="0"/>
            </w:tcBorders>
            <w:noWrap w:val="0"/>
            <w:vAlign w:val="top"/>
          </w:tcPr>
          <w:p>
            <w:pPr>
              <w:widowControl/>
              <w:snapToGrid w:val="0"/>
              <w:ind w:left="-105" w:leftChars="-50" w:right="-105" w:rightChars="-5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科研启动费（万元）</w:t>
            </w:r>
          </w:p>
        </w:tc>
        <w:tc>
          <w:tcPr>
            <w:tcW w:w="34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ind w:left="-105" w:leftChars="-50" w:right="-105" w:rightChars="-5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c>
          <w:tcPr>
            <w:tcW w:w="22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文</w:t>
            </w:r>
          </w:p>
        </w:tc>
        <w:tc>
          <w:tcPr>
            <w:tcW w:w="1459"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理</w:t>
            </w:r>
          </w:p>
        </w:tc>
        <w:tc>
          <w:tcPr>
            <w:tcW w:w="1462"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工</w:t>
            </w:r>
          </w:p>
        </w:tc>
        <w:tc>
          <w:tcPr>
            <w:tcW w:w="34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引领学校学科发展或服务地方发展的高水平科技团队</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34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学科领军人才</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p>
        </w:tc>
        <w:tc>
          <w:tcPr>
            <w:tcW w:w="34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教授</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70</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10</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20</w:t>
            </w:r>
          </w:p>
        </w:tc>
        <w:tc>
          <w:tcPr>
            <w:tcW w:w="34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kern w:val="0"/>
                <w:sz w:val="28"/>
                <w:szCs w:val="28"/>
              </w:rPr>
            </w:pPr>
            <w:r>
              <w:rPr>
                <w:rFonts w:hint="eastAsia" w:ascii="仿宋_GB2312" w:hAnsi="宋体" w:eastAsia="仿宋_GB2312" w:cs="宋体"/>
                <w:kern w:val="0"/>
                <w:sz w:val="28"/>
                <w:szCs w:val="28"/>
              </w:rPr>
              <w:t>教授津贴每月最低</w:t>
            </w:r>
            <w:r>
              <w:rPr>
                <w:rFonts w:ascii="Times New Roman" w:hAnsi="Times New Roman" w:eastAsia="仿宋_GB2312"/>
                <w:kern w:val="0"/>
                <w:sz w:val="28"/>
                <w:szCs w:val="28"/>
              </w:rPr>
              <w:t>1000元，博士津贴每月最低800元</w:t>
            </w:r>
            <w:r>
              <w:rPr>
                <w:rFonts w:hint="eastAsia" w:ascii="仿宋_GB2312" w:hAnsi="宋体" w:eastAsia="仿宋_GB2312" w:cs="宋体"/>
                <w:kern w:val="0"/>
                <w:sz w:val="28"/>
                <w:szCs w:val="28"/>
              </w:rPr>
              <w:t>。</w:t>
            </w:r>
          </w:p>
          <w:p>
            <w:pPr>
              <w:widowControl/>
              <w:snapToGrid w:val="0"/>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博士副教授</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65</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7</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9</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15</w:t>
            </w:r>
          </w:p>
        </w:tc>
        <w:tc>
          <w:tcPr>
            <w:tcW w:w="34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A类博士</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60</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6</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8</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10</w:t>
            </w:r>
          </w:p>
        </w:tc>
        <w:tc>
          <w:tcPr>
            <w:tcW w:w="34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B类博士</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45</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4</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6</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8</w:t>
            </w:r>
          </w:p>
        </w:tc>
        <w:tc>
          <w:tcPr>
            <w:tcW w:w="34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27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C类博士</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30</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6</w:t>
            </w:r>
          </w:p>
        </w:tc>
        <w:tc>
          <w:tcPr>
            <w:tcW w:w="34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r>
    </w:tbl>
    <w:p>
      <w:pPr>
        <w:widowControl/>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注1：学科领军人才包括：</w:t>
      </w:r>
      <w:r>
        <w:rPr>
          <w:rFonts w:hint="eastAsia" w:ascii="仿宋_GB2312" w:hAnsi="宋体" w:eastAsia="仿宋_GB2312" w:cs="宋体"/>
          <w:kern w:val="0"/>
          <w:sz w:val="32"/>
          <w:szCs w:val="32"/>
        </w:rPr>
        <w:t>两院院士、国家杰青，享受国务院特殊津贴专家、国家优青，国家科技重大专项、重点研发计划、基地和人才专项的首席科学家，安徽省学术和技术带头人、安徽省特支计划的杰出人才等。</w:t>
      </w:r>
    </w:p>
    <w:p>
      <w:pPr>
        <w:widowControl/>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注2：学校在职人员攻读博士学位者，若档案调离、读博期间停发全部工资待遇，获得学位返校后视为引进人才；若档案不调离、读博期间保留基本待遇，获得学位返校后，安家费按照引进博士的1/2发放。</w:t>
      </w:r>
      <w:r>
        <w:rPr>
          <w:rFonts w:hint="eastAsia" w:ascii="仿宋_GB2312" w:hAnsi="宋体" w:eastAsia="仿宋_GB2312" w:cs="宋体"/>
          <w:color w:val="000000"/>
          <w:kern w:val="0"/>
          <w:sz w:val="32"/>
          <w:szCs w:val="32"/>
        </w:rPr>
        <w:t>学成归来博士入学时所签协议规定的待遇若与上述条款不一致，可从优选择。</w:t>
      </w:r>
    </w:p>
    <w:p>
      <w:pPr>
        <w:spacing w:line="54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 3：</w:t>
      </w:r>
      <w:r>
        <w:rPr>
          <w:rFonts w:hint="eastAsia" w:ascii="仿宋_GB2312" w:hAnsi="宋体" w:eastAsia="仿宋_GB2312" w:cs="宋体"/>
          <w:b/>
          <w:color w:val="000000"/>
          <w:kern w:val="0"/>
          <w:sz w:val="32"/>
          <w:szCs w:val="32"/>
        </w:rPr>
        <w:t>A类博士:</w:t>
      </w:r>
      <w:r>
        <w:rPr>
          <w:rFonts w:hint="eastAsia" w:ascii="仿宋_GB2312" w:hAnsi="华文仿宋" w:eastAsia="仿宋_GB2312" w:cs="仿宋_GB2312"/>
          <w:color w:val="000000"/>
          <w:sz w:val="32"/>
          <w:szCs w:val="32"/>
        </w:rPr>
        <w:t>在二类以上期刊发表本学科学术论文2篇以上或在一类期刊发表本学科学术论文1篇以上。</w:t>
      </w:r>
      <w:r>
        <w:rPr>
          <w:rFonts w:hint="eastAsia" w:ascii="仿宋_GB2312" w:hAnsi="宋体" w:eastAsia="仿宋_GB2312" w:cs="宋体"/>
          <w:color w:val="000000"/>
          <w:kern w:val="0"/>
          <w:sz w:val="32"/>
          <w:szCs w:val="32"/>
        </w:rPr>
        <w:t xml:space="preserve">并符合下列条件之一的： </w:t>
      </w:r>
    </w:p>
    <w:p>
      <w:pPr>
        <w:spacing w:line="540" w:lineRule="exact"/>
        <w:ind w:firstLine="640" w:firstLineChars="200"/>
        <w:jc w:val="left"/>
        <w:rPr>
          <w:rFonts w:hint="eastAsia" w:ascii="仿宋_GB2312" w:hAnsi="华文仿宋" w:eastAsia="仿宋_GB2312" w:cs="仿宋_GB2312"/>
          <w:bCs/>
          <w:color w:val="000000"/>
          <w:kern w:val="0"/>
          <w:sz w:val="32"/>
          <w:szCs w:val="32"/>
        </w:rPr>
      </w:pPr>
      <w:r>
        <w:rPr>
          <w:rFonts w:hint="eastAsia" w:ascii="仿宋_GB2312" w:hAnsi="华文仿宋" w:eastAsia="仿宋_GB2312" w:cs="仿宋_GB2312"/>
          <w:bCs/>
          <w:color w:val="000000"/>
          <w:kern w:val="0"/>
          <w:sz w:val="32"/>
          <w:szCs w:val="32"/>
        </w:rPr>
        <w:t xml:space="preserve">（1） 在一类期刊上发表2篇以上或在二类以上期刊发表本学科学术论文6篇以上。 </w:t>
      </w:r>
    </w:p>
    <w:p>
      <w:pPr>
        <w:spacing w:line="540" w:lineRule="exact"/>
        <w:ind w:firstLine="640" w:firstLineChars="200"/>
        <w:rPr>
          <w:rFonts w:hint="eastAsia"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（2） 正式出版与本人研究方向相一致，且本人撰写12万字以上本学科学术著作1部以上，并</w:t>
      </w:r>
      <w:r>
        <w:rPr>
          <w:rFonts w:hint="eastAsia" w:ascii="仿宋_GB2312" w:hAnsi="华文仿宋" w:eastAsia="仿宋_GB2312" w:cs="仿宋_GB2312"/>
          <w:bCs/>
          <w:color w:val="000000"/>
          <w:kern w:val="0"/>
          <w:sz w:val="32"/>
          <w:szCs w:val="32"/>
        </w:rPr>
        <w:t>在一类期刊上发表1篇以上或在二类以上期刊发表本学科学术论文3篇以上</w:t>
      </w:r>
      <w:r>
        <w:rPr>
          <w:rFonts w:hint="eastAsia" w:ascii="仿宋_GB2312" w:hAnsi="华文仿宋" w:eastAsia="仿宋_GB2312" w:cs="仿宋_GB2312"/>
          <w:color w:val="000000"/>
          <w:sz w:val="32"/>
          <w:szCs w:val="32"/>
        </w:rPr>
        <w:t>。</w:t>
      </w:r>
    </w:p>
    <w:p>
      <w:pPr>
        <w:spacing w:line="540" w:lineRule="exact"/>
        <w:ind w:firstLine="640" w:firstLineChars="200"/>
        <w:rPr>
          <w:rFonts w:hint="eastAsia" w:ascii="仿宋_GB2312" w:hAnsi="华文仿宋" w:eastAsia="仿宋_GB2312" w:cs="仿宋_GB2312"/>
          <w:bCs/>
          <w:color w:val="000000"/>
          <w:kern w:val="0"/>
          <w:sz w:val="32"/>
          <w:szCs w:val="32"/>
        </w:rPr>
      </w:pPr>
      <w:r>
        <w:rPr>
          <w:rFonts w:hint="eastAsia" w:ascii="仿宋_GB2312" w:hAnsi="华文仿宋" w:eastAsia="仿宋_GB2312"/>
          <w:color w:val="000000"/>
          <w:sz w:val="32"/>
          <w:szCs w:val="32"/>
        </w:rPr>
        <w:t xml:space="preserve">（3） </w:t>
      </w:r>
      <w:r>
        <w:rPr>
          <w:rFonts w:hint="eastAsia" w:ascii="仿宋_GB2312" w:hAnsi="华文仿宋" w:eastAsia="仿宋_GB2312" w:cs="仿宋_GB2312"/>
          <w:bCs/>
          <w:color w:val="000000"/>
          <w:kern w:val="0"/>
          <w:sz w:val="32"/>
          <w:szCs w:val="32"/>
        </w:rPr>
        <w:t>主持三类以上科学研究项目1项以上或参加二类以上科学研究项目（前2名）一项以上</w:t>
      </w:r>
      <w:r>
        <w:rPr>
          <w:rFonts w:hint="eastAsia" w:ascii="仿宋_GB2312" w:hAnsi="华文仿宋" w:eastAsia="仿宋_GB2312" w:cs="仿宋_GB2312"/>
          <w:color w:val="000000"/>
          <w:kern w:val="0"/>
          <w:sz w:val="32"/>
          <w:szCs w:val="32"/>
        </w:rPr>
        <w:t>。</w:t>
      </w:r>
    </w:p>
    <w:p>
      <w:pPr>
        <w:spacing w:line="540" w:lineRule="exact"/>
        <w:ind w:firstLine="640" w:firstLineChars="200"/>
        <w:jc w:val="left"/>
        <w:rPr>
          <w:rFonts w:hint="eastAsia" w:ascii="仿宋_GB2312" w:hAnsi="华文仿宋" w:eastAsia="仿宋_GB2312" w:cs="仿宋_GB2312"/>
          <w:bCs/>
          <w:color w:val="000000"/>
          <w:kern w:val="0"/>
          <w:sz w:val="32"/>
          <w:szCs w:val="32"/>
        </w:rPr>
      </w:pPr>
      <w:r>
        <w:rPr>
          <w:rFonts w:hint="eastAsia" w:ascii="仿宋_GB2312" w:hAnsi="华文仿宋" w:eastAsia="仿宋_GB2312" w:cs="仿宋_GB2312"/>
          <w:bCs/>
          <w:color w:val="000000"/>
          <w:kern w:val="0"/>
          <w:sz w:val="32"/>
          <w:szCs w:val="32"/>
        </w:rPr>
        <w:t>（4） 获一类科研奖励（前10名）；或二类科研奖励一等奖（前5名）、二等奖（前3名）。</w:t>
      </w:r>
    </w:p>
    <w:p>
      <w:pPr>
        <w:widowControl/>
        <w:spacing w:line="540" w:lineRule="exact"/>
        <w:ind w:firstLine="640" w:firstLineChars="200"/>
        <w:rPr>
          <w:rFonts w:hint="eastAsia" w:ascii="仿宋_GB2312" w:hAnsi="华文仿宋" w:eastAsia="仿宋_GB2312" w:cs="仿宋_GB2312"/>
          <w:color w:val="000000"/>
          <w:kern w:val="0"/>
          <w:sz w:val="32"/>
          <w:szCs w:val="32"/>
        </w:rPr>
      </w:pPr>
      <w:r>
        <w:rPr>
          <w:rFonts w:hint="eastAsia" w:ascii="仿宋_GB2312" w:hAnsi="华文仿宋" w:eastAsia="仿宋_GB2312" w:cs="仿宋_GB2312"/>
          <w:color w:val="000000"/>
          <w:kern w:val="0"/>
          <w:sz w:val="32"/>
          <w:szCs w:val="32"/>
        </w:rPr>
        <w:t>（5） 主持一类成果推广1项以上或获得一类知识产权1项以上。</w:t>
      </w:r>
    </w:p>
    <w:p>
      <w:pPr>
        <w:widowControl/>
        <w:spacing w:line="540" w:lineRule="exact"/>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B类博士：</w:t>
      </w:r>
      <w:r>
        <w:rPr>
          <w:rFonts w:hint="eastAsia" w:ascii="仿宋_GB2312" w:hAnsi="华文仿宋" w:eastAsia="仿宋_GB2312" w:cs="仿宋_GB2312"/>
          <w:color w:val="000000"/>
          <w:sz w:val="32"/>
          <w:szCs w:val="32"/>
        </w:rPr>
        <w:t>在三类以上期刊发表本学科学术论文2篇以上或在二类以上期刊发表学术论文1篇以上。</w:t>
      </w:r>
      <w:r>
        <w:rPr>
          <w:rFonts w:hint="eastAsia" w:ascii="仿宋_GB2312" w:hAnsi="宋体" w:eastAsia="仿宋_GB2312" w:cs="宋体"/>
          <w:color w:val="000000"/>
          <w:kern w:val="0"/>
          <w:sz w:val="32"/>
          <w:szCs w:val="32"/>
        </w:rPr>
        <w:t>符合下述条件之一的：</w:t>
      </w:r>
    </w:p>
    <w:p>
      <w:pPr>
        <w:spacing w:line="540" w:lineRule="exact"/>
        <w:ind w:firstLine="640" w:firstLineChars="200"/>
        <w:rPr>
          <w:rFonts w:hint="eastAsia"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（1） 在一类期刊发表本学科学术论文1篇以上或在二类以上期刊发表本学科学术论文3篇以上。</w:t>
      </w:r>
    </w:p>
    <w:p>
      <w:pPr>
        <w:spacing w:line="54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（2） </w:t>
      </w:r>
      <w:r>
        <w:rPr>
          <w:rFonts w:hint="eastAsia" w:ascii="仿宋_GB2312" w:hAnsi="华文仿宋" w:eastAsia="仿宋_GB2312" w:cs="仿宋_GB2312"/>
          <w:kern w:val="0"/>
          <w:sz w:val="32"/>
          <w:szCs w:val="32"/>
        </w:rPr>
        <w:t>正式出版与本人研究方向一致，且本人撰写10万字以上本学科</w:t>
      </w:r>
      <w:r>
        <w:rPr>
          <w:rFonts w:hint="eastAsia" w:ascii="仿宋_GB2312" w:hAnsi="华文仿宋" w:eastAsia="仿宋_GB2312" w:cs="仿宋_GB2312"/>
          <w:sz w:val="32"/>
          <w:szCs w:val="32"/>
        </w:rPr>
        <w:t>学术著作1部以上。</w:t>
      </w:r>
    </w:p>
    <w:p>
      <w:pPr>
        <w:spacing w:line="540" w:lineRule="exact"/>
        <w:ind w:firstLine="640" w:firstLineChars="200"/>
        <w:rPr>
          <w:rFonts w:hint="eastAsia" w:ascii="仿宋_GB2312" w:hAnsi="华文仿宋" w:eastAsia="仿宋_GB2312" w:cs="仿宋_GB2312"/>
          <w:color w:val="000000"/>
          <w:kern w:val="0"/>
          <w:sz w:val="32"/>
          <w:szCs w:val="32"/>
        </w:rPr>
      </w:pPr>
      <w:r>
        <w:rPr>
          <w:rFonts w:hint="eastAsia" w:ascii="仿宋_GB2312" w:hAnsi="华文仿宋" w:eastAsia="仿宋_GB2312"/>
          <w:color w:val="000000"/>
          <w:sz w:val="32"/>
          <w:szCs w:val="32"/>
        </w:rPr>
        <w:t>（3） 主持四类以上科学研究</w:t>
      </w:r>
      <w:r>
        <w:rPr>
          <w:rFonts w:hint="eastAsia" w:ascii="仿宋_GB2312" w:hAnsi="宋体" w:eastAsia="仿宋_GB2312" w:cs="宋体"/>
          <w:color w:val="000000"/>
          <w:sz w:val="32"/>
          <w:szCs w:val="32"/>
        </w:rPr>
        <w:t>项</w:t>
      </w:r>
      <w:r>
        <w:rPr>
          <w:rFonts w:hint="eastAsia" w:ascii="仿宋_GB2312" w:hAnsi="仿宋_GB2312" w:eastAsia="仿宋_GB2312" w:cs="仿宋_GB2312"/>
          <w:color w:val="000000"/>
          <w:sz w:val="32"/>
          <w:szCs w:val="32"/>
        </w:rPr>
        <w:t>目</w:t>
      </w:r>
      <w:r>
        <w:rPr>
          <w:rFonts w:hint="eastAsia" w:ascii="仿宋_GB2312" w:hAnsi="华文仿宋" w:eastAsia="仿宋_GB2312"/>
          <w:color w:val="000000"/>
          <w:sz w:val="32"/>
          <w:szCs w:val="32"/>
        </w:rPr>
        <w:t>或参加三类以上科学研究</w:t>
      </w:r>
      <w:r>
        <w:rPr>
          <w:rFonts w:hint="eastAsia" w:ascii="仿宋_GB2312" w:hAnsi="宋体" w:eastAsia="仿宋_GB2312" w:cs="宋体"/>
          <w:color w:val="000000"/>
          <w:sz w:val="32"/>
          <w:szCs w:val="32"/>
        </w:rPr>
        <w:t>项</w:t>
      </w:r>
      <w:r>
        <w:rPr>
          <w:rFonts w:hint="eastAsia" w:ascii="仿宋_GB2312" w:hAnsi="仿宋_GB2312" w:eastAsia="仿宋_GB2312" w:cs="仿宋_GB2312"/>
          <w:color w:val="000000"/>
          <w:sz w:val="32"/>
          <w:szCs w:val="32"/>
        </w:rPr>
        <w:t>目</w:t>
      </w:r>
      <w:r>
        <w:rPr>
          <w:rFonts w:hint="eastAsia" w:ascii="仿宋_GB2312" w:hAnsi="华文仿宋" w:eastAsia="仿宋_GB2312"/>
          <w:color w:val="000000"/>
          <w:sz w:val="32"/>
          <w:szCs w:val="32"/>
        </w:rPr>
        <w:t>（前3名）。</w:t>
      </w:r>
    </w:p>
    <w:p>
      <w:pPr>
        <w:tabs>
          <w:tab w:val="left" w:pos="6352"/>
        </w:tabs>
        <w:snapToGrid w:val="0"/>
        <w:spacing w:line="54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s="仿宋_GB2312"/>
          <w:color w:val="000000"/>
          <w:kern w:val="0"/>
          <w:sz w:val="32"/>
          <w:szCs w:val="32"/>
        </w:rPr>
        <w:t xml:space="preserve">（4） </w:t>
      </w:r>
      <w:r>
        <w:rPr>
          <w:rFonts w:hint="eastAsia" w:ascii="仿宋_GB2312" w:hAnsi="华文仿宋" w:eastAsia="仿宋_GB2312"/>
          <w:color w:val="000000"/>
          <w:sz w:val="32"/>
          <w:szCs w:val="32"/>
        </w:rPr>
        <w:t>获一类科研奖励；或二类科研奖励一等奖；或二类科研奖励二等奖（前5名）、三等奖（前3名）</w:t>
      </w:r>
      <w:r>
        <w:rPr>
          <w:rFonts w:hint="eastAsia" w:ascii="仿宋_GB2312" w:hAnsi="华文仿宋" w:eastAsia="仿宋_GB2312" w:cs="仿宋_GB2312"/>
          <w:color w:val="000000"/>
          <w:kern w:val="0"/>
          <w:sz w:val="32"/>
          <w:szCs w:val="32"/>
        </w:rPr>
        <w:t>或三类科研奖励</w:t>
      </w:r>
      <w:r>
        <w:rPr>
          <w:rFonts w:hint="eastAsia" w:ascii="仿宋_GB2312" w:hAnsi="华文仿宋" w:eastAsia="仿宋_GB2312"/>
          <w:color w:val="000000"/>
          <w:sz w:val="32"/>
          <w:szCs w:val="32"/>
        </w:rPr>
        <w:t>（第1名）</w:t>
      </w:r>
      <w:r>
        <w:rPr>
          <w:rFonts w:hint="eastAsia" w:ascii="仿宋_GB2312" w:hAnsi="华文仿宋" w:eastAsia="仿宋_GB2312" w:cs="仿宋_GB2312"/>
          <w:color w:val="000000"/>
          <w:kern w:val="0"/>
          <w:sz w:val="32"/>
          <w:szCs w:val="32"/>
        </w:rPr>
        <w:t>1项以上。</w:t>
      </w:r>
    </w:p>
    <w:p>
      <w:pPr>
        <w:widowControl/>
        <w:spacing w:line="540" w:lineRule="exact"/>
        <w:ind w:firstLine="640" w:firstLineChars="200"/>
        <w:rPr>
          <w:rFonts w:hint="eastAsia" w:ascii="仿宋_GB2312" w:hAnsi="华文仿宋" w:eastAsia="仿宋_GB2312" w:cs="仿宋_GB2312"/>
          <w:color w:val="000000"/>
          <w:kern w:val="0"/>
          <w:sz w:val="32"/>
          <w:szCs w:val="32"/>
        </w:rPr>
      </w:pPr>
      <w:r>
        <w:rPr>
          <w:rFonts w:hint="eastAsia" w:ascii="仿宋_GB2312" w:hAnsi="华文仿宋" w:eastAsia="仿宋_GB2312" w:cs="仿宋_GB2312"/>
          <w:color w:val="000000"/>
          <w:kern w:val="0"/>
          <w:sz w:val="32"/>
          <w:szCs w:val="32"/>
        </w:rPr>
        <w:t>（5） 主持二类成果推广1项以上或获得二类知识产权1项以上。</w:t>
      </w:r>
    </w:p>
    <w:p>
      <w:pPr>
        <w:widowControl/>
        <w:spacing w:line="540" w:lineRule="exact"/>
        <w:ind w:firstLine="643" w:firstLineChars="200"/>
        <w:rPr>
          <w:rFonts w:hint="eastAsia" w:ascii="仿宋_GB2312" w:hAnsi="华文仿宋" w:eastAsia="仿宋_GB2312" w:cs="仿宋_GB2312"/>
          <w:color w:val="000000"/>
          <w:kern w:val="0"/>
          <w:sz w:val="32"/>
          <w:szCs w:val="32"/>
        </w:rPr>
      </w:pPr>
      <w:r>
        <w:rPr>
          <w:rFonts w:hint="eastAsia" w:ascii="仿宋_GB2312" w:hAnsi="华文仿宋" w:eastAsia="仿宋_GB2312" w:cs="仿宋_GB2312"/>
          <w:b/>
          <w:color w:val="000000"/>
          <w:kern w:val="0"/>
          <w:sz w:val="32"/>
          <w:szCs w:val="32"/>
        </w:rPr>
        <w:t>C类博士</w:t>
      </w:r>
      <w:r>
        <w:rPr>
          <w:rFonts w:hint="eastAsia" w:ascii="仿宋_GB2312" w:hAnsi="华文仿宋" w:eastAsia="仿宋_GB2312" w:cs="仿宋_GB2312"/>
          <w:color w:val="000000"/>
          <w:kern w:val="0"/>
          <w:sz w:val="32"/>
          <w:szCs w:val="32"/>
        </w:rPr>
        <w:t>：不满足A、B类博士条件的博士。</w:t>
      </w:r>
    </w:p>
    <w:p>
      <w:pPr>
        <w:spacing w:line="540" w:lineRule="exact"/>
        <w:ind w:firstLine="640" w:firstLineChars="200"/>
        <w:rPr>
          <w:rFonts w:hint="eastAsia" w:ascii="仿宋_GB2312" w:hAnsi="宋体" w:eastAsia="仿宋_GB2312" w:cs="宋体"/>
          <w:color w:val="000000"/>
          <w:kern w:val="0"/>
          <w:sz w:val="32"/>
          <w:szCs w:val="32"/>
        </w:rPr>
      </w:pPr>
      <w:r>
        <w:rPr>
          <w:rFonts w:hint="eastAsia" w:ascii="仿宋_GB2312" w:hAnsi="华文仿宋" w:eastAsia="仿宋_GB2312" w:cs="仿宋_GB2312"/>
          <w:color w:val="000000"/>
          <w:kern w:val="0"/>
          <w:sz w:val="32"/>
          <w:szCs w:val="32"/>
        </w:rPr>
        <w:t>以上成果类别参见</w:t>
      </w:r>
      <w:r>
        <w:rPr>
          <w:rFonts w:hint="eastAsia" w:eastAsia="仿宋_GB2312" w:cs="仿宋_GB2312"/>
          <w:color w:val="000000"/>
          <w:kern w:val="0"/>
          <w:sz w:val="32"/>
          <w:szCs w:val="32"/>
        </w:rPr>
        <w:t>《</w:t>
      </w:r>
      <w:r>
        <w:rPr>
          <w:rFonts w:hint="eastAsia" w:ascii="仿宋_GB2312" w:hAnsi="宋体" w:eastAsia="仿宋_GB2312"/>
          <w:color w:val="000000"/>
          <w:sz w:val="32"/>
          <w:szCs w:val="32"/>
        </w:rPr>
        <w:t>安徽省普通本科高等学校教师专业技术资格</w:t>
      </w:r>
      <w:r>
        <w:rPr>
          <w:rFonts w:hint="eastAsia" w:ascii="仿宋_GB2312" w:hAnsi="宋体" w:eastAsia="仿宋_GB2312"/>
          <w:sz w:val="32"/>
          <w:szCs w:val="32"/>
        </w:rPr>
        <w:t>申报条件</w:t>
      </w:r>
      <w:r>
        <w:rPr>
          <w:rFonts w:hint="eastAsia" w:eastAsia="仿宋_GB2312" w:cs="仿宋_GB2312"/>
          <w:color w:val="000000"/>
          <w:kern w:val="0"/>
          <w:sz w:val="32"/>
          <w:szCs w:val="32"/>
        </w:rPr>
        <w:t>》（皖教人</w:t>
      </w:r>
      <w:r>
        <w:rPr>
          <w:rFonts w:hint="eastAsia" w:ascii="仿宋_GB2312" w:hAnsi="宋体" w:eastAsia="仿宋_GB2312" w:cs="宋体"/>
          <w:kern w:val="0"/>
          <w:sz w:val="32"/>
          <w:szCs w:val="32"/>
        </w:rPr>
        <w:t>〔20</w:t>
      </w:r>
      <w:r>
        <w:rPr>
          <w:rFonts w:ascii="仿宋_GB2312" w:hAnsi="宋体" w:eastAsia="仿宋_GB2312" w:cs="宋体"/>
          <w:kern w:val="0"/>
          <w:sz w:val="32"/>
          <w:szCs w:val="32"/>
        </w:rPr>
        <w:t>16</w:t>
      </w: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号</w:t>
      </w:r>
      <w:r>
        <w:rPr>
          <w:rFonts w:hint="eastAsia" w:ascii="仿宋_GB2312" w:hAnsi="宋体" w:eastAsia="仿宋_GB2312" w:cs="宋体"/>
          <w:color w:val="000000"/>
          <w:kern w:val="0"/>
          <w:sz w:val="32"/>
          <w:szCs w:val="32"/>
        </w:rPr>
        <w:t>）。</w:t>
      </w:r>
      <w:r>
        <w:rPr>
          <w:rFonts w:hint="eastAsia" w:ascii="仿宋_GB2312" w:hAnsi="宋体" w:eastAsia="仿宋_GB2312"/>
          <w:color w:val="000000"/>
          <w:sz w:val="32"/>
          <w:szCs w:val="32"/>
        </w:rPr>
        <w:t>以上涉及排名的均包含主持人（第一完成人、第一获奖人等），论文要求是第一作者或公开发表外文学术期刊的通讯作者。</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4：对于人才待遇兑现要求提供的学术、专利等成果认定的截止时间一律以学校人才引进归属年份的（学成归来的按照学位证书落款年份）12月31日前所取得的业绩成果（以相关文件落款、期刊出版时间为准，不含录用通知等）为准。</w:t>
      </w:r>
    </w:p>
    <w:p>
      <w:pPr>
        <w:spacing w:line="54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：表格中安家费含购房补贴，安家费、购房补贴比例为1:1。</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：学成归来人员依据学校进修协议，按照其进修类型（不含职称）兑现相关待遇。</w:t>
      </w:r>
    </w:p>
    <w:p>
      <w:pPr>
        <w:spacing w:line="54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注 </w:t>
      </w: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：学校为引进（含学校培养）的教授、博士提供80-120 m</w:t>
      </w:r>
      <w:r>
        <w:rPr>
          <w:rFonts w:hint="eastAsia" w:ascii="宋体" w:hAnsi="宋体" w:cs="宋体"/>
          <w:color w:val="000000"/>
          <w:kern w:val="0"/>
          <w:sz w:val="32"/>
          <w:szCs w:val="32"/>
        </w:rPr>
        <w:t>²</w:t>
      </w:r>
      <w:r>
        <w:rPr>
          <w:rFonts w:hint="eastAsia" w:ascii="仿宋_GB2312" w:hAnsi="仿宋_GB2312" w:eastAsia="仿宋_GB2312" w:cs="仿宋_GB2312"/>
          <w:color w:val="000000"/>
          <w:kern w:val="0"/>
          <w:sz w:val="32"/>
          <w:szCs w:val="32"/>
        </w:rPr>
        <w:t>左右人才周转房源，房屋使用费按</w:t>
      </w:r>
      <w:r>
        <w:rPr>
          <w:rFonts w:hint="eastAsia" w:ascii="仿宋_GB2312" w:hAnsi="宋体" w:eastAsia="仿宋_GB2312" w:cs="宋体"/>
          <w:color w:val="000000"/>
          <w:kern w:val="0"/>
          <w:sz w:val="32"/>
          <w:szCs w:val="32"/>
        </w:rPr>
        <w:t>2500元/m</w:t>
      </w:r>
      <w:r>
        <w:rPr>
          <w:rFonts w:hint="eastAsia" w:ascii="宋体" w:hAnsi="宋体" w:cs="宋体"/>
          <w:color w:val="000000"/>
          <w:kern w:val="0"/>
          <w:sz w:val="32"/>
          <w:szCs w:val="32"/>
        </w:rPr>
        <w:t>²</w:t>
      </w:r>
      <w:r>
        <w:rPr>
          <w:rFonts w:hint="eastAsia" w:ascii="仿宋_GB2312" w:hAnsi="仿宋_GB2312" w:eastAsia="仿宋_GB2312" w:cs="仿宋_GB2312"/>
          <w:color w:val="000000"/>
          <w:kern w:val="0"/>
          <w:sz w:val="32"/>
          <w:szCs w:val="32"/>
        </w:rPr>
        <w:t>计算，房屋属性等按照学校相关规定执行。</w:t>
      </w:r>
    </w:p>
    <w:p>
      <w:pPr>
        <w:spacing w:line="54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：具有博士学位的教师在晋升高级职称（含内聘）时优先。</w:t>
      </w:r>
    </w:p>
    <w:p>
      <w:pPr>
        <w:widowControl/>
        <w:spacing w:line="54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注 </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：上述方案适用于201</w:t>
      </w: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年及以后新进和学成归来人员。</w:t>
      </w:r>
    </w:p>
    <w:p>
      <w:pPr>
        <w:widowControl/>
        <w:adjustRightInd w:val="0"/>
        <w:snapToGrid w:val="0"/>
        <w:spacing w:line="540" w:lineRule="exact"/>
        <w:ind w:firstLine="562" w:firstLineChars="200"/>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二、教授、博士配偶安置条件</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对于教授和博士，原则上为其配偶（身体健康，40周岁以下，专科学历）安排一次工作。</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 对于配偶是从事会计、审计、医疗工作的专业技术人员，且具有会计、审计或医疗专业技术中级职称者，年龄可放宽到45周岁；</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配偶来校前一直在同类及以上高校以人事代理方式工作三年以上者，来我校仍以人事代理方式安排工作，不受年龄学历限制。</w:t>
      </w:r>
    </w:p>
    <w:p>
      <w:pPr>
        <w:adjustRightInd w:val="0"/>
        <w:snapToGrid w:val="0"/>
        <w:spacing w:line="540" w:lineRule="exact"/>
        <w:ind w:firstLine="640" w:firstLineChars="200"/>
        <w:rPr>
          <w:rFonts w:hint="eastAsia" w:ascii="方正仿宋_GBK" w:eastAsia="方正仿宋_GBK"/>
          <w:sz w:val="32"/>
          <w:szCs w:val="32"/>
        </w:rPr>
      </w:pPr>
    </w:p>
    <w:p>
      <w:pPr>
        <w:widowControl/>
        <w:numPr>
          <w:ilvl w:val="0"/>
          <w:numId w:val="0"/>
        </w:numPr>
        <w:shd w:val="clear" w:color="auto" w:fill="FFFFFF"/>
        <w:spacing w:line="500" w:lineRule="exact"/>
        <w:jc w:val="left"/>
        <w:rPr>
          <w:rFonts w:hint="eastAsia" w:ascii="仿宋_GB2312" w:hAnsi="微软雅黑" w:eastAsia="仿宋_GB2312" w:cs="宋体"/>
          <w:kern w:val="0"/>
          <w:sz w:val="28"/>
          <w:szCs w:val="28"/>
        </w:rPr>
      </w:pPr>
    </w:p>
    <w:sectPr>
      <w:pgSz w:w="16838" w:h="11906" w:orient="landscape"/>
      <w:pgMar w:top="1418" w:right="1191" w:bottom="1418"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602D9"/>
    <w:multiLevelType w:val="multilevel"/>
    <w:tmpl w:val="774602D9"/>
    <w:lvl w:ilvl="0" w:tentative="0">
      <w:start w:val="1"/>
      <w:numFmt w:val="japaneseCounting"/>
      <w:lvlText w:val="%1、"/>
      <w:lvlJc w:val="left"/>
      <w:pPr>
        <w:ind w:left="1470" w:hanging="720"/>
      </w:p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5E"/>
    <w:rsid w:val="00234116"/>
    <w:rsid w:val="0074778A"/>
    <w:rsid w:val="00A06A5E"/>
    <w:rsid w:val="00F54FB3"/>
    <w:rsid w:val="019520DF"/>
    <w:rsid w:val="038D11DD"/>
    <w:rsid w:val="041B6D35"/>
    <w:rsid w:val="124D4D02"/>
    <w:rsid w:val="12954670"/>
    <w:rsid w:val="1EBE39AF"/>
    <w:rsid w:val="21EE2DF9"/>
    <w:rsid w:val="26567B44"/>
    <w:rsid w:val="275A45C3"/>
    <w:rsid w:val="2C285393"/>
    <w:rsid w:val="31681849"/>
    <w:rsid w:val="331C69F5"/>
    <w:rsid w:val="37EA205C"/>
    <w:rsid w:val="38C0115F"/>
    <w:rsid w:val="38F173E2"/>
    <w:rsid w:val="3AFC1339"/>
    <w:rsid w:val="3B697E34"/>
    <w:rsid w:val="47736D6E"/>
    <w:rsid w:val="47F5079C"/>
    <w:rsid w:val="47FB6691"/>
    <w:rsid w:val="4E531B7E"/>
    <w:rsid w:val="50BD1BC1"/>
    <w:rsid w:val="520C3E0C"/>
    <w:rsid w:val="572143A7"/>
    <w:rsid w:val="5F6526A3"/>
    <w:rsid w:val="5F89752E"/>
    <w:rsid w:val="62417798"/>
    <w:rsid w:val="6E535EFB"/>
    <w:rsid w:val="725A40E7"/>
    <w:rsid w:val="72B8207B"/>
    <w:rsid w:val="7CA6553A"/>
    <w:rsid w:val="7EEB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512</Words>
  <Characters>2925</Characters>
  <Lines>24</Lines>
  <Paragraphs>6</Paragraphs>
  <TotalTime>9</TotalTime>
  <ScaleCrop>false</ScaleCrop>
  <LinksUpToDate>false</LinksUpToDate>
  <CharactersWithSpaces>3431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2019-04-24T01:05:00Z</dcterms:created>
  <dc:creator>吕秋颍</dc:creator>
  <cp:lastModifiedBy>Administrator</cp:lastModifiedBy>
  <dcterms:modified xsi:type="dcterms:W3CDTF">2019-04-26T07:06:39Z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