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firstLine="482" w:firstLineChars="100"/>
      </w:pPr>
      <w:r>
        <w:t>宜春学院2019年</w:t>
      </w:r>
      <w:r>
        <w:rPr>
          <w:rFonts w:hint="eastAsia"/>
          <w:lang w:eastAsia="zh-CN"/>
        </w:rPr>
        <w:t>博士</w:t>
      </w:r>
      <w:r>
        <w:t xml:space="preserve">人才引进公告 </w:t>
      </w:r>
    </w:p>
    <w:p>
      <w:pPr>
        <w:pStyle w:val="3"/>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auto"/>
        <w:textAlignment w:val="auto"/>
        <w:rPr>
          <w:rFonts w:hint="default" w:ascii="仿宋_gb2312" w:hAnsi="仿宋_gb2312" w:eastAsia="仿宋_gb2312" w:cs="仿宋_gb2312"/>
          <w:sz w:val="28"/>
          <w:szCs w:val="28"/>
        </w:rPr>
      </w:pPr>
      <w:bookmarkStart w:id="0" w:name="OLE_LINK4"/>
      <w:bookmarkEnd w:id="0"/>
      <w:bookmarkStart w:id="1" w:name="OLE_LINK5"/>
      <w:bookmarkEnd w:id="1"/>
      <w:bookmarkStart w:id="2" w:name="OLE_LINK6"/>
      <w:r>
        <w:rPr>
          <w:rStyle w:val="5"/>
          <w:rFonts w:ascii="仿宋_gb2312" w:hAnsi="仿宋_gb2312" w:eastAsia="仿宋_gb2312" w:cs="仿宋_gb2312"/>
          <w:sz w:val="28"/>
          <w:szCs w:val="28"/>
        </w:rPr>
        <w:t>学校概况</w:t>
      </w:r>
      <w:bookmarkEnd w:id="2"/>
    </w:p>
    <w:p>
      <w:pPr>
        <w:pStyle w:val="3"/>
        <w:keepNext w:val="0"/>
        <w:keepLines w:val="0"/>
        <w:pageBreakBefore w:val="0"/>
        <w:widowControl/>
        <w:numPr>
          <w:numId w:val="0"/>
        </w:numPr>
        <w:suppressLineNumbers w:val="0"/>
        <w:kinsoku/>
        <w:wordWrap/>
        <w:overflowPunct/>
        <w:topLinePunct w:val="0"/>
        <w:autoSpaceDE/>
        <w:autoSpaceDN/>
        <w:bidi w:val="0"/>
        <w:adjustRightInd/>
        <w:snapToGrid/>
        <w:spacing w:line="480" w:lineRule="auto"/>
        <w:ind w:right="0" w:rightChars="0" w:firstLine="570" w:firstLineChars="200"/>
        <w:textAlignment w:val="auto"/>
        <w:rPr>
          <w:rFonts w:hint="default" w:ascii="仿宋_gb2312" w:hAnsi="仿宋_gb2312" w:eastAsia="仿宋_gb2312" w:cs="仿宋_gb2312"/>
          <w:sz w:val="28"/>
          <w:szCs w:val="28"/>
        </w:rPr>
      </w:pPr>
      <w:r>
        <w:rPr>
          <w:rFonts w:hint="default" w:ascii="仿宋_gb2312" w:hAnsi="仿宋_gb2312" w:eastAsia="仿宋_gb2312" w:cs="仿宋_gb2312"/>
          <w:sz w:val="28"/>
          <w:szCs w:val="28"/>
        </w:rPr>
        <w:t>宜春学院是2000年1月，经国家教育部批准成立的全日制公办本科院校。学校地处赣西中心城市——江西省宜春市，环境优美，交通便利。</w:t>
      </w:r>
    </w:p>
    <w:p>
      <w:pPr>
        <w:pStyle w:val="3"/>
        <w:keepNext w:val="0"/>
        <w:keepLines w:val="0"/>
        <w:pageBreakBefore w:val="0"/>
        <w:widowControl/>
        <w:suppressLineNumbers w:val="0"/>
        <w:kinsoku/>
        <w:wordWrap/>
        <w:overflowPunct/>
        <w:topLinePunct w:val="0"/>
        <w:autoSpaceDE/>
        <w:autoSpaceDN/>
        <w:bidi w:val="0"/>
        <w:adjustRightInd/>
        <w:snapToGrid/>
        <w:spacing w:line="480" w:lineRule="auto"/>
        <w:ind w:left="0" w:firstLine="420"/>
        <w:textAlignment w:val="auto"/>
      </w:pPr>
      <w:r>
        <w:rPr>
          <w:rFonts w:hint="default" w:ascii="仿宋_gb2312" w:hAnsi="仿宋_gb2312" w:eastAsia="仿宋_gb2312" w:cs="仿宋_gb2312"/>
          <w:sz w:val="28"/>
          <w:szCs w:val="28"/>
        </w:rPr>
        <w:t>学校占地136万余平方米；现有全日制在校硕士研究生、本科生、专科生、外国留学生近2万人；有专任教师1019人，外聘教师233人，其中，高级职称人员占40%以上，博士、硕士近80%；学校外聘袁隆平、陈立泉、钟世镇、樊代明、钟秉林、丁健、庄松林、陈仙辉、邱振中、郭磊等100多名高级专家为名誉教授、客座教授。</w:t>
      </w:r>
    </w:p>
    <w:p>
      <w:pPr>
        <w:pStyle w:val="3"/>
        <w:keepNext w:val="0"/>
        <w:keepLines w:val="0"/>
        <w:pageBreakBefore w:val="0"/>
        <w:widowControl/>
        <w:suppressLineNumbers w:val="0"/>
        <w:kinsoku/>
        <w:wordWrap/>
        <w:overflowPunct/>
        <w:topLinePunct w:val="0"/>
        <w:autoSpaceDE/>
        <w:autoSpaceDN/>
        <w:bidi w:val="0"/>
        <w:adjustRightInd/>
        <w:snapToGrid/>
        <w:spacing w:line="480" w:lineRule="auto"/>
        <w:ind w:left="0" w:firstLine="555"/>
        <w:textAlignment w:val="auto"/>
      </w:pPr>
      <w:r>
        <w:rPr>
          <w:rFonts w:hint="default" w:ascii="仿宋_gb2312" w:hAnsi="仿宋_gb2312" w:eastAsia="仿宋_gb2312" w:cs="仿宋_gb2312"/>
          <w:sz w:val="28"/>
          <w:szCs w:val="28"/>
        </w:rPr>
        <w:t>学校形成了以教育学、医学、农学为主，文学、理学、工学、经济学、法学、管理学、艺术学等多学科协调发展的学科体系。有国家级特色专业、“卓越人才教育培养计划”专业4个，国家级专业综合改革试点1个，国家级大学生校外实践基地1个；有省级重点学科4个，省级特色专业8个，省级“卓越人才教育培养计划”试点4个，省级综合改革试点4个，省级人才培养模式创新实验区2个，省高校实验教学示范中心3个；有省级重点实验室、高校重点实验室（工程中心、基地）6个，省文化艺术科学重点研究基地1个；有省2011协同创新中心1个，博士后科研工作站1个，院士工作站点2个。2011年，经国务院学位委员会批准，我校被批准为“服务国家特殊需求项目——学士学位授予单位开展培养硕士专业学位研究生试点工作单位”。2015年，我校被确定为江西省首批转型发展试点高校之一。</w:t>
      </w:r>
    </w:p>
    <w:p>
      <w:pPr>
        <w:pStyle w:val="3"/>
        <w:keepNext w:val="0"/>
        <w:keepLines w:val="0"/>
        <w:pageBreakBefore w:val="0"/>
        <w:widowControl/>
        <w:suppressLineNumbers w:val="0"/>
        <w:kinsoku/>
        <w:wordWrap/>
        <w:overflowPunct/>
        <w:topLinePunct w:val="0"/>
        <w:autoSpaceDE/>
        <w:autoSpaceDN/>
        <w:bidi w:val="0"/>
        <w:adjustRightInd/>
        <w:snapToGrid/>
        <w:spacing w:line="480" w:lineRule="auto"/>
        <w:ind w:left="0" w:firstLine="420"/>
        <w:textAlignment w:val="auto"/>
      </w:pPr>
      <w:r>
        <w:rPr>
          <w:rFonts w:hint="default" w:ascii="仿宋_gb2312" w:hAnsi="仿宋_gb2312" w:eastAsia="仿宋_gb2312" w:cs="仿宋_gb2312"/>
          <w:sz w:val="28"/>
          <w:szCs w:val="28"/>
        </w:rPr>
        <w:t>目前，宜春学院在学校 “十三五”发展规划的引领下，着力打造事业发展的“升级版”，正沿着建设特色鲜明的高水平地方性应用型大学目标阔步前进。</w:t>
      </w:r>
    </w:p>
    <w:p>
      <w:pPr>
        <w:pStyle w:val="3"/>
        <w:keepNext w:val="0"/>
        <w:keepLines w:val="0"/>
        <w:pageBreakBefore w:val="0"/>
        <w:widowControl/>
        <w:suppressLineNumbers w:val="0"/>
        <w:kinsoku/>
        <w:wordWrap/>
        <w:overflowPunct/>
        <w:topLinePunct w:val="0"/>
        <w:autoSpaceDE/>
        <w:autoSpaceDN/>
        <w:bidi w:val="0"/>
        <w:adjustRightInd/>
        <w:snapToGrid/>
        <w:spacing w:line="480" w:lineRule="auto"/>
        <w:textAlignment w:val="auto"/>
      </w:pPr>
      <w:r>
        <w:rPr>
          <w:rStyle w:val="5"/>
          <w:rFonts w:hint="default" w:ascii="仿宋_gb2312" w:hAnsi="仿宋_gb2312" w:eastAsia="仿宋_gb2312" w:cs="仿宋_gb2312"/>
          <w:sz w:val="28"/>
          <w:szCs w:val="28"/>
        </w:rPr>
        <w:t>二、引进对象</w:t>
      </w:r>
    </w:p>
    <w:p>
      <w:pPr>
        <w:pStyle w:val="3"/>
        <w:keepNext w:val="0"/>
        <w:keepLines w:val="0"/>
        <w:pageBreakBefore w:val="0"/>
        <w:widowControl/>
        <w:suppressLineNumbers w:val="0"/>
        <w:kinsoku/>
        <w:wordWrap/>
        <w:overflowPunct/>
        <w:topLinePunct w:val="0"/>
        <w:autoSpaceDE/>
        <w:autoSpaceDN/>
        <w:bidi w:val="0"/>
        <w:adjustRightInd/>
        <w:snapToGrid/>
        <w:spacing w:line="480" w:lineRule="auto"/>
        <w:ind w:left="0" w:firstLine="555"/>
        <w:textAlignment w:val="auto"/>
      </w:pPr>
      <w:r>
        <w:rPr>
          <w:rFonts w:hint="default" w:ascii="仿宋_gb2312" w:hAnsi="仿宋_gb2312" w:eastAsia="仿宋_gb2312" w:cs="仿宋_gb2312"/>
          <w:sz w:val="28"/>
          <w:szCs w:val="28"/>
        </w:rPr>
        <w:t>第一类： “两院”院士、长江学者、国家级有突出贡献的中青年专家、国家级学科学术与技术带头人、国家“千人计划”入选者、国家百人计划入选者、国家级教学名师、“新世纪百千万人才工程”国家级人选、国务院特贴专家等；</w:t>
      </w:r>
    </w:p>
    <w:p>
      <w:pPr>
        <w:pStyle w:val="3"/>
        <w:keepNext w:val="0"/>
        <w:keepLines w:val="0"/>
        <w:pageBreakBefore w:val="0"/>
        <w:widowControl/>
        <w:suppressLineNumbers w:val="0"/>
        <w:kinsoku/>
        <w:wordWrap/>
        <w:overflowPunct/>
        <w:topLinePunct w:val="0"/>
        <w:autoSpaceDE/>
        <w:autoSpaceDN/>
        <w:bidi w:val="0"/>
        <w:adjustRightInd/>
        <w:snapToGrid/>
        <w:spacing w:line="480" w:lineRule="auto"/>
        <w:ind w:left="0" w:firstLine="555"/>
        <w:textAlignment w:val="auto"/>
      </w:pPr>
      <w:r>
        <w:rPr>
          <w:rFonts w:hint="default" w:ascii="仿宋_gb2312" w:hAnsi="仿宋_gb2312" w:eastAsia="仿宋_gb2312" w:cs="仿宋_gb2312"/>
          <w:sz w:val="28"/>
          <w:szCs w:val="28"/>
        </w:rPr>
        <w:t>第二类：省级主要学科学术与技术带头人、赣鄱“555”人才工程人选、“井冈学者”特聘教授、教育部新世纪优秀人才支持计划人选、省级突出贡献中青年专家、省政府特殊津贴人员、省级教学名师、省级“新世纪百千万人才工程”人选、江西省青年科学家（井冈之星）培养对象、省级以上中青年学科带头人等；</w:t>
      </w:r>
    </w:p>
    <w:p>
      <w:pPr>
        <w:pStyle w:val="3"/>
        <w:keepNext w:val="0"/>
        <w:keepLines w:val="0"/>
        <w:pageBreakBefore w:val="0"/>
        <w:widowControl/>
        <w:suppressLineNumbers w:val="0"/>
        <w:kinsoku/>
        <w:wordWrap/>
        <w:overflowPunct/>
        <w:topLinePunct w:val="0"/>
        <w:autoSpaceDE/>
        <w:autoSpaceDN/>
        <w:bidi w:val="0"/>
        <w:adjustRightInd/>
        <w:snapToGrid/>
        <w:spacing w:line="480" w:lineRule="auto"/>
        <w:ind w:left="0" w:firstLine="420"/>
        <w:textAlignment w:val="auto"/>
      </w:pPr>
      <w:r>
        <w:rPr>
          <w:rFonts w:hint="default" w:ascii="仿宋_gb2312" w:hAnsi="仿宋_gb2312" w:eastAsia="仿宋_gb2312" w:cs="仿宋_gb2312"/>
          <w:sz w:val="28"/>
          <w:szCs w:val="28"/>
        </w:rPr>
        <w:t>第三类：学科和专业建设所需的海（境）内外博士、博士后。</w:t>
      </w:r>
    </w:p>
    <w:p>
      <w:pPr>
        <w:pStyle w:val="3"/>
        <w:keepNext w:val="0"/>
        <w:keepLines w:val="0"/>
        <w:pageBreakBefore w:val="0"/>
        <w:widowControl/>
        <w:suppressLineNumbers w:val="0"/>
        <w:kinsoku/>
        <w:wordWrap/>
        <w:overflowPunct/>
        <w:topLinePunct w:val="0"/>
        <w:autoSpaceDE/>
        <w:autoSpaceDN/>
        <w:bidi w:val="0"/>
        <w:adjustRightInd/>
        <w:snapToGrid/>
        <w:spacing w:line="480" w:lineRule="auto"/>
        <w:textAlignment w:val="auto"/>
      </w:pPr>
      <w:r>
        <w:rPr>
          <w:rStyle w:val="5"/>
          <w:rFonts w:hint="default" w:ascii="仿宋_gb2312" w:hAnsi="仿宋_gb2312" w:eastAsia="仿宋_gb2312" w:cs="仿宋_gb2312"/>
          <w:sz w:val="28"/>
          <w:szCs w:val="28"/>
        </w:rPr>
        <w:t>三、引进计划及要求</w:t>
      </w:r>
    </w:p>
    <w:p>
      <w:pPr>
        <w:pStyle w:val="3"/>
        <w:keepNext w:val="0"/>
        <w:keepLines w:val="0"/>
        <w:pageBreakBefore w:val="0"/>
        <w:widowControl/>
        <w:suppressLineNumbers w:val="0"/>
        <w:kinsoku/>
        <w:wordWrap/>
        <w:overflowPunct/>
        <w:topLinePunct w:val="0"/>
        <w:autoSpaceDE/>
        <w:autoSpaceDN/>
        <w:bidi w:val="0"/>
        <w:adjustRightInd/>
        <w:snapToGrid/>
        <w:spacing w:line="480" w:lineRule="auto"/>
        <w:ind w:left="0" w:firstLine="420"/>
        <w:textAlignment w:val="auto"/>
      </w:pPr>
      <w:r>
        <w:rPr>
          <w:rStyle w:val="5"/>
          <w:rFonts w:hint="default" w:ascii="仿宋_gb2312" w:hAnsi="仿宋_gb2312" w:eastAsia="仿宋_gb2312" w:cs="仿宋_gb2312"/>
          <w:sz w:val="28"/>
          <w:szCs w:val="28"/>
        </w:rPr>
        <w:t>（一）高端和优秀人才。</w:t>
      </w:r>
      <w:r>
        <w:rPr>
          <w:rFonts w:hint="default" w:ascii="仿宋_gb2312" w:hAnsi="仿宋_gb2312" w:eastAsia="仿宋_gb2312" w:cs="仿宋_gb2312"/>
          <w:sz w:val="28"/>
          <w:szCs w:val="28"/>
        </w:rPr>
        <w:t>符合第一、第二类引进人才为高端和优秀人才，不设指标限制，年龄不超过55周岁。</w:t>
      </w:r>
    </w:p>
    <w:p>
      <w:pPr>
        <w:pStyle w:val="3"/>
        <w:keepNext w:val="0"/>
        <w:keepLines w:val="0"/>
        <w:widowControl/>
        <w:suppressLineNumbers w:val="0"/>
        <w:spacing w:line="420" w:lineRule="atLeast"/>
        <w:ind w:left="0" w:firstLine="420"/>
      </w:pPr>
      <w:r>
        <w:rPr>
          <w:rStyle w:val="5"/>
          <w:rFonts w:hint="default" w:ascii="仿宋_gb2312" w:hAnsi="仿宋_gb2312" w:eastAsia="仿宋_gb2312" w:cs="仿宋_gb2312"/>
          <w:sz w:val="28"/>
          <w:szCs w:val="28"/>
        </w:rPr>
        <w:t>（二）博士引进计划及要求</w:t>
      </w:r>
    </w:p>
    <w:tbl>
      <w:tblPr>
        <w:tblW w:w="8790" w:type="dxa"/>
        <w:tblCellSpacing w:w="0" w:type="dxa"/>
        <w:tblInd w:w="13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1200"/>
        <w:gridCol w:w="870"/>
        <w:gridCol w:w="3315"/>
        <w:gridCol w:w="540"/>
        <w:gridCol w:w="286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0" w:type="dxa"/>
        </w:trPr>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line="315" w:lineRule="atLeast"/>
              <w:jc w:val="center"/>
            </w:pPr>
            <w:r>
              <w:rPr>
                <w:rStyle w:val="5"/>
                <w:rFonts w:ascii="仿宋" w:hAnsi="仿宋" w:eastAsia="仿宋" w:cs="仿宋"/>
                <w:sz w:val="24"/>
                <w:szCs w:val="24"/>
                <w:bdr w:val="none" w:color="auto" w:sz="0" w:space="0"/>
              </w:rPr>
              <w:t>学院</w:t>
            </w:r>
          </w:p>
        </w:tc>
        <w:tc>
          <w:tcPr>
            <w:tcW w:w="87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15" w:lineRule="atLeast"/>
              <w:jc w:val="center"/>
            </w:pPr>
            <w:r>
              <w:rPr>
                <w:rStyle w:val="5"/>
                <w:rFonts w:hint="eastAsia" w:ascii="仿宋" w:hAnsi="仿宋" w:eastAsia="仿宋" w:cs="仿宋"/>
                <w:sz w:val="24"/>
                <w:szCs w:val="24"/>
                <w:bdr w:val="none" w:color="auto" w:sz="0" w:space="0"/>
              </w:rPr>
              <w:t>需求岗位</w:t>
            </w:r>
          </w:p>
        </w:tc>
        <w:tc>
          <w:tcPr>
            <w:tcW w:w="331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15" w:lineRule="atLeast"/>
              <w:jc w:val="center"/>
            </w:pPr>
            <w:r>
              <w:rPr>
                <w:rStyle w:val="5"/>
                <w:rFonts w:hint="eastAsia" w:ascii="仿宋" w:hAnsi="仿宋" w:eastAsia="仿宋" w:cs="仿宋"/>
                <w:sz w:val="24"/>
                <w:szCs w:val="24"/>
                <w:bdr w:val="none" w:color="auto" w:sz="0" w:space="0"/>
              </w:rPr>
              <w:t>专业</w:t>
            </w:r>
          </w:p>
        </w:tc>
        <w:tc>
          <w:tcPr>
            <w:tcW w:w="54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15" w:lineRule="atLeast"/>
              <w:jc w:val="center"/>
            </w:pPr>
            <w:r>
              <w:rPr>
                <w:rStyle w:val="5"/>
                <w:rFonts w:hint="eastAsia" w:ascii="仿宋" w:hAnsi="仿宋" w:eastAsia="仿宋" w:cs="仿宋"/>
                <w:sz w:val="24"/>
                <w:szCs w:val="24"/>
                <w:bdr w:val="none" w:color="auto" w:sz="0" w:space="0"/>
              </w:rPr>
              <w:t>人数</w:t>
            </w:r>
          </w:p>
        </w:tc>
        <w:tc>
          <w:tcPr>
            <w:tcW w:w="286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15" w:lineRule="atLeast"/>
              <w:jc w:val="center"/>
            </w:pPr>
            <w:r>
              <w:rPr>
                <w:rStyle w:val="5"/>
                <w:rFonts w:hint="eastAsia" w:ascii="仿宋" w:hAnsi="仿宋" w:eastAsia="仿宋" w:cs="仿宋"/>
                <w:sz w:val="24"/>
                <w:szCs w:val="24"/>
                <w:bdr w:val="none" w:color="auto" w:sz="0" w:space="0"/>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1200"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文传学院</w:t>
            </w:r>
          </w:p>
        </w:tc>
        <w:tc>
          <w:tcPr>
            <w:tcW w:w="87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教研</w:t>
            </w:r>
          </w:p>
        </w:tc>
        <w:tc>
          <w:tcPr>
            <w:tcW w:w="33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广告</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jc w:val="center"/>
            </w:pPr>
            <w:r>
              <w:rPr>
                <w:rFonts w:hint="eastAsia" w:ascii="仿宋" w:hAnsi="仿宋" w:eastAsia="仿宋" w:cs="仿宋"/>
                <w:sz w:val="24"/>
                <w:szCs w:val="24"/>
                <w:bdr w:val="none" w:color="auto" w:sz="0" w:space="0"/>
              </w:rPr>
              <w:t>1</w:t>
            </w:r>
          </w:p>
        </w:tc>
        <w:tc>
          <w:tcPr>
            <w:tcW w:w="2865"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120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87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33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广电</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jc w:val="center"/>
            </w:pPr>
            <w:r>
              <w:rPr>
                <w:rFonts w:hint="eastAsia" w:ascii="仿宋" w:hAnsi="仿宋" w:eastAsia="仿宋" w:cs="仿宋"/>
                <w:sz w:val="24"/>
                <w:szCs w:val="24"/>
                <w:bdr w:val="none" w:color="auto" w:sz="0" w:space="0"/>
              </w:rPr>
              <w:t>1</w:t>
            </w:r>
          </w:p>
        </w:tc>
        <w:tc>
          <w:tcPr>
            <w:tcW w:w="286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120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87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33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电视编导</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jc w:val="center"/>
            </w:pPr>
            <w:r>
              <w:rPr>
                <w:rFonts w:hint="eastAsia" w:ascii="仿宋" w:hAnsi="仿宋" w:eastAsia="仿宋" w:cs="仿宋"/>
                <w:sz w:val="24"/>
                <w:szCs w:val="24"/>
                <w:bdr w:val="none" w:color="auto" w:sz="0" w:space="0"/>
              </w:rPr>
              <w:t>2</w:t>
            </w:r>
          </w:p>
        </w:tc>
        <w:tc>
          <w:tcPr>
            <w:tcW w:w="286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120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87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33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中国语言文学</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jc w:val="center"/>
            </w:pPr>
            <w:r>
              <w:rPr>
                <w:rFonts w:hint="eastAsia" w:ascii="仿宋" w:hAnsi="仿宋" w:eastAsia="仿宋" w:cs="仿宋"/>
                <w:sz w:val="24"/>
                <w:szCs w:val="24"/>
                <w:bdr w:val="none" w:color="auto" w:sz="0" w:space="0"/>
              </w:rPr>
              <w:t>2</w:t>
            </w:r>
          </w:p>
        </w:tc>
        <w:tc>
          <w:tcPr>
            <w:tcW w:w="286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120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87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33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地理学</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2</w:t>
            </w:r>
          </w:p>
        </w:tc>
        <w:tc>
          <w:tcPr>
            <w:tcW w:w="286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90" w:hRule="atLeast"/>
          <w:tblCellSpacing w:w="0" w:type="dxa"/>
        </w:trPr>
        <w:tc>
          <w:tcPr>
            <w:tcW w:w="1200"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政法学院</w:t>
            </w:r>
          </w:p>
        </w:tc>
        <w:tc>
          <w:tcPr>
            <w:tcW w:w="87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教研</w:t>
            </w:r>
          </w:p>
        </w:tc>
        <w:tc>
          <w:tcPr>
            <w:tcW w:w="33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法学</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2</w:t>
            </w:r>
          </w:p>
        </w:tc>
        <w:tc>
          <w:tcPr>
            <w:tcW w:w="2865"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120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87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33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知识产权</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2</w:t>
            </w:r>
          </w:p>
        </w:tc>
        <w:tc>
          <w:tcPr>
            <w:tcW w:w="286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120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87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33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公共管理学、城市管理学、社会学、政治学</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2</w:t>
            </w:r>
          </w:p>
        </w:tc>
        <w:tc>
          <w:tcPr>
            <w:tcW w:w="286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120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科研</w:t>
            </w:r>
          </w:p>
        </w:tc>
        <w:tc>
          <w:tcPr>
            <w:tcW w:w="33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教育经济管理、土地资源管理、农林经济管理、政府经济学</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1</w:t>
            </w:r>
          </w:p>
        </w:tc>
        <w:tc>
          <w:tcPr>
            <w:tcW w:w="28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Pr>
            <w:r>
              <w:rPr>
                <w:rFonts w:hint="eastAsia" w:ascii="仿宋" w:hAnsi="仿宋" w:eastAsia="仿宋" w:cs="仿宋"/>
                <w:sz w:val="24"/>
                <w:szCs w:val="24"/>
                <w:bdr w:val="none" w:color="auto" w:sz="0" w:space="0"/>
              </w:rPr>
              <w:t>农村社会建设研究中心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1200"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马克思主义学院</w:t>
            </w:r>
          </w:p>
        </w:tc>
        <w:tc>
          <w:tcPr>
            <w:tcW w:w="87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教研</w:t>
            </w:r>
          </w:p>
        </w:tc>
        <w:tc>
          <w:tcPr>
            <w:tcW w:w="33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马克思主义基本原理</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3</w:t>
            </w:r>
          </w:p>
        </w:tc>
        <w:tc>
          <w:tcPr>
            <w:tcW w:w="2865"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Pr>
            <w:r>
              <w:rPr>
                <w:rFonts w:hint="eastAsia" w:ascii="仿宋" w:hAnsi="仿宋" w:eastAsia="仿宋" w:cs="仿宋"/>
                <w:sz w:val="24"/>
                <w:szCs w:val="24"/>
                <w:bdr w:val="none" w:color="auto" w:sz="0" w:space="0"/>
              </w:rPr>
              <w:t>本硕博专业相近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35" w:hRule="atLeast"/>
          <w:tblCellSpacing w:w="0" w:type="dxa"/>
        </w:trPr>
        <w:tc>
          <w:tcPr>
            <w:tcW w:w="120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87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33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马克思主义中国化</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3</w:t>
            </w:r>
          </w:p>
        </w:tc>
        <w:tc>
          <w:tcPr>
            <w:tcW w:w="286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5" w:hRule="atLeast"/>
          <w:tblCellSpacing w:w="0" w:type="dxa"/>
        </w:trPr>
        <w:tc>
          <w:tcPr>
            <w:tcW w:w="120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87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33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思想政治教育</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2</w:t>
            </w:r>
          </w:p>
        </w:tc>
        <w:tc>
          <w:tcPr>
            <w:tcW w:w="286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120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87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33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中国近现代史基本问题研究</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2</w:t>
            </w:r>
          </w:p>
        </w:tc>
        <w:tc>
          <w:tcPr>
            <w:tcW w:w="286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120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外国语学院</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教研</w:t>
            </w:r>
          </w:p>
        </w:tc>
        <w:tc>
          <w:tcPr>
            <w:tcW w:w="33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翻译、文学、语言类</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2</w:t>
            </w:r>
          </w:p>
        </w:tc>
        <w:tc>
          <w:tcPr>
            <w:tcW w:w="28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Pr>
            <w:r>
              <w:rPr>
                <w:rFonts w:hint="eastAsia" w:ascii="仿宋" w:hAnsi="仿宋" w:eastAsia="仿宋" w:cs="仿宋"/>
                <w:sz w:val="24"/>
                <w:szCs w:val="24"/>
                <w:bdr w:val="none" w:color="auto" w:sz="0" w:space="0"/>
              </w:rPr>
              <w:t>本硕均为英语专业，博士可与英语相近专业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1200"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音舞学院</w:t>
            </w:r>
          </w:p>
        </w:tc>
        <w:tc>
          <w:tcPr>
            <w:tcW w:w="87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教研</w:t>
            </w:r>
          </w:p>
        </w:tc>
        <w:tc>
          <w:tcPr>
            <w:tcW w:w="33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音乐理论</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2</w:t>
            </w:r>
          </w:p>
        </w:tc>
        <w:tc>
          <w:tcPr>
            <w:tcW w:w="28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65" w:hRule="atLeast"/>
          <w:tblCellSpacing w:w="0" w:type="dxa"/>
        </w:trPr>
        <w:tc>
          <w:tcPr>
            <w:tcW w:w="120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87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33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钢琴</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jc w:val="center"/>
            </w:pPr>
            <w:r>
              <w:rPr>
                <w:rFonts w:hint="eastAsia" w:ascii="仿宋" w:hAnsi="仿宋" w:eastAsia="仿宋" w:cs="仿宋"/>
                <w:sz w:val="24"/>
                <w:szCs w:val="24"/>
                <w:bdr w:val="none" w:color="auto" w:sz="0" w:space="0"/>
              </w:rPr>
              <w:t>1</w:t>
            </w:r>
          </w:p>
        </w:tc>
        <w:tc>
          <w:tcPr>
            <w:tcW w:w="28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120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87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33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舞蹈</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jc w:val="center"/>
            </w:pPr>
            <w:r>
              <w:rPr>
                <w:rFonts w:hint="eastAsia" w:ascii="仿宋" w:hAnsi="仿宋" w:eastAsia="仿宋" w:cs="仿宋"/>
                <w:sz w:val="24"/>
                <w:szCs w:val="24"/>
                <w:bdr w:val="none" w:color="auto" w:sz="0" w:space="0"/>
              </w:rPr>
              <w:t>1</w:t>
            </w:r>
          </w:p>
        </w:tc>
        <w:tc>
          <w:tcPr>
            <w:tcW w:w="28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Pr>
            <w:r>
              <w:rPr>
                <w:rFonts w:hint="eastAsia" w:ascii="仿宋" w:hAnsi="仿宋" w:eastAsia="仿宋" w:cs="仿宋"/>
                <w:sz w:val="24"/>
                <w:szCs w:val="24"/>
                <w:bdr w:val="none" w:color="auto" w:sz="0" w:space="0"/>
              </w:rPr>
              <w:t>舞蹈理论方向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120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87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33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声乐</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jc w:val="center"/>
            </w:pPr>
            <w:r>
              <w:rPr>
                <w:rFonts w:hint="eastAsia" w:ascii="仿宋" w:hAnsi="仿宋" w:eastAsia="仿宋" w:cs="仿宋"/>
                <w:sz w:val="24"/>
                <w:szCs w:val="24"/>
                <w:bdr w:val="none" w:color="auto" w:sz="0" w:space="0"/>
              </w:rPr>
              <w:t>1</w:t>
            </w:r>
          </w:p>
        </w:tc>
        <w:tc>
          <w:tcPr>
            <w:tcW w:w="28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120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美设学院</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教研</w:t>
            </w:r>
          </w:p>
        </w:tc>
        <w:tc>
          <w:tcPr>
            <w:tcW w:w="33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美术与设计类相关专业</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2</w:t>
            </w:r>
          </w:p>
        </w:tc>
        <w:tc>
          <w:tcPr>
            <w:tcW w:w="28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1200"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数计学院</w:t>
            </w:r>
          </w:p>
        </w:tc>
        <w:tc>
          <w:tcPr>
            <w:tcW w:w="87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教研</w:t>
            </w:r>
          </w:p>
        </w:tc>
        <w:tc>
          <w:tcPr>
            <w:tcW w:w="33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数学</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1</w:t>
            </w:r>
          </w:p>
        </w:tc>
        <w:tc>
          <w:tcPr>
            <w:tcW w:w="28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Pr>
            <w:r>
              <w:rPr>
                <w:rFonts w:hint="eastAsia" w:ascii="仿宋" w:hAnsi="仿宋" w:eastAsia="仿宋" w:cs="仿宋"/>
                <w:sz w:val="24"/>
                <w:szCs w:val="24"/>
                <w:bdr w:val="none" w:color="auto" w:sz="0" w:space="0"/>
              </w:rPr>
              <w:t>985高校毕业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120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87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33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信息类（计算机、信息工程等）</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2</w:t>
            </w:r>
          </w:p>
        </w:tc>
        <w:tc>
          <w:tcPr>
            <w:tcW w:w="28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1200"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理工学院</w:t>
            </w:r>
          </w:p>
        </w:tc>
        <w:tc>
          <w:tcPr>
            <w:tcW w:w="87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教研</w:t>
            </w:r>
          </w:p>
        </w:tc>
        <w:tc>
          <w:tcPr>
            <w:tcW w:w="33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通信工程及相关专业</w:t>
            </w:r>
          </w:p>
        </w:tc>
        <w:tc>
          <w:tcPr>
            <w:tcW w:w="54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3</w:t>
            </w:r>
          </w:p>
        </w:tc>
        <w:tc>
          <w:tcPr>
            <w:tcW w:w="2865"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Pr>
            <w:r>
              <w:rPr>
                <w:rFonts w:hint="eastAsia" w:ascii="仿宋" w:hAnsi="仿宋" w:eastAsia="仿宋" w:cs="仿宋"/>
                <w:sz w:val="24"/>
                <w:szCs w:val="24"/>
                <w:bdr w:val="none" w:color="auto" w:sz="0" w:space="0"/>
              </w:rPr>
              <w:t>业绩突出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120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87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33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电信工程及相关专业</w:t>
            </w:r>
          </w:p>
        </w:tc>
        <w:tc>
          <w:tcPr>
            <w:tcW w:w="54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86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120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87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33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机械工程相关专业</w:t>
            </w:r>
          </w:p>
        </w:tc>
        <w:tc>
          <w:tcPr>
            <w:tcW w:w="54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3</w:t>
            </w:r>
          </w:p>
        </w:tc>
        <w:tc>
          <w:tcPr>
            <w:tcW w:w="2865"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Pr>
            <w:r>
              <w:rPr>
                <w:rFonts w:hint="eastAsia" w:ascii="仿宋" w:hAnsi="仿宋" w:eastAsia="仿宋" w:cs="仿宋"/>
                <w:sz w:val="24"/>
                <w:szCs w:val="24"/>
                <w:bdr w:val="none" w:color="auto" w:sz="0" w:space="0"/>
              </w:rPr>
              <w:t>业绩突出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120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87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33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自动化相关专业</w:t>
            </w:r>
          </w:p>
        </w:tc>
        <w:tc>
          <w:tcPr>
            <w:tcW w:w="54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86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120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87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33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土木工程</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2</w:t>
            </w:r>
          </w:p>
        </w:tc>
        <w:tc>
          <w:tcPr>
            <w:tcW w:w="28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Pr>
            <w:r>
              <w:rPr>
                <w:rFonts w:hint="eastAsia" w:ascii="仿宋" w:hAnsi="仿宋" w:eastAsia="仿宋" w:cs="仿宋"/>
                <w:sz w:val="24"/>
                <w:szCs w:val="24"/>
                <w:bdr w:val="none" w:color="auto" w:sz="0" w:space="0"/>
              </w:rPr>
              <w:t>结构工程或岩土工程方向等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120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87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33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工程管理</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1</w:t>
            </w:r>
          </w:p>
        </w:tc>
        <w:tc>
          <w:tcPr>
            <w:tcW w:w="28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Pr>
            <w:r>
              <w:rPr>
                <w:rFonts w:hint="eastAsia" w:ascii="仿宋" w:hAnsi="仿宋" w:eastAsia="仿宋" w:cs="仿宋"/>
                <w:sz w:val="24"/>
                <w:szCs w:val="24"/>
                <w:bdr w:val="none" w:color="auto" w:sz="0" w:space="0"/>
              </w:rPr>
              <w:t>具有工程造价方向的实践经验的管理类博士或土木类高校毕业的管理类博士</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30" w:hRule="atLeast"/>
          <w:tblCellSpacing w:w="0" w:type="dxa"/>
        </w:trPr>
        <w:tc>
          <w:tcPr>
            <w:tcW w:w="120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87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33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材料物理</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2</w:t>
            </w:r>
          </w:p>
        </w:tc>
        <w:tc>
          <w:tcPr>
            <w:tcW w:w="28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5" w:hRule="atLeast"/>
          <w:tblCellSpacing w:w="0" w:type="dxa"/>
        </w:trPr>
        <w:tc>
          <w:tcPr>
            <w:tcW w:w="120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87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33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物理学</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1</w:t>
            </w:r>
          </w:p>
        </w:tc>
        <w:tc>
          <w:tcPr>
            <w:tcW w:w="28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Pr>
            <w:r>
              <w:rPr>
                <w:rFonts w:hint="eastAsia" w:ascii="仿宋" w:hAnsi="仿宋" w:eastAsia="仿宋" w:cs="仿宋"/>
                <w:sz w:val="24"/>
                <w:szCs w:val="24"/>
                <w:bdr w:val="none" w:color="auto" w:sz="0" w:space="0"/>
              </w:rPr>
              <w:t>985高校毕业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1200"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生科学院</w:t>
            </w:r>
          </w:p>
        </w:tc>
        <w:tc>
          <w:tcPr>
            <w:tcW w:w="87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Pr>
            <w:r>
              <w:rPr>
                <w:rFonts w:hint="eastAsia" w:ascii="仿宋" w:hAnsi="仿宋" w:eastAsia="仿宋" w:cs="仿宋"/>
                <w:sz w:val="24"/>
                <w:szCs w:val="24"/>
                <w:bdr w:val="none" w:color="auto" w:sz="0" w:space="0"/>
              </w:rPr>
              <w:t>教研</w:t>
            </w:r>
          </w:p>
        </w:tc>
        <w:tc>
          <w:tcPr>
            <w:tcW w:w="33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城市规划、城乡规划</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1</w:t>
            </w:r>
          </w:p>
        </w:tc>
        <w:tc>
          <w:tcPr>
            <w:tcW w:w="2865"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Pr>
            <w:r>
              <w:rPr>
                <w:rFonts w:hint="eastAsia" w:ascii="仿宋" w:hAnsi="仿宋" w:eastAsia="仿宋" w:cs="仿宋"/>
                <w:sz w:val="24"/>
                <w:szCs w:val="24"/>
                <w:bdr w:val="none" w:color="auto" w:sz="0" w:space="0"/>
              </w:rPr>
              <w:t>主持过省级以上课题者优先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120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87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33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人文地理学及相关地理类</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1</w:t>
            </w:r>
          </w:p>
        </w:tc>
        <w:tc>
          <w:tcPr>
            <w:tcW w:w="286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120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87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33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土地资源管理</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1</w:t>
            </w:r>
          </w:p>
        </w:tc>
        <w:tc>
          <w:tcPr>
            <w:tcW w:w="286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765" w:hRule="atLeast"/>
          <w:tblCellSpacing w:w="0" w:type="dxa"/>
        </w:trPr>
        <w:tc>
          <w:tcPr>
            <w:tcW w:w="120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87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33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地图制图学与地理信息工程或测绘遥感相关专业</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1</w:t>
            </w:r>
          </w:p>
        </w:tc>
        <w:tc>
          <w:tcPr>
            <w:tcW w:w="28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Pr>
            <w:r>
              <w:rPr>
                <w:rFonts w:hint="eastAsia" w:ascii="仿宋" w:hAnsi="仿宋" w:eastAsia="仿宋" w:cs="仿宋"/>
                <w:sz w:val="24"/>
                <w:szCs w:val="24"/>
                <w:bdr w:val="none" w:color="auto" w:sz="0" w:space="0"/>
              </w:rPr>
              <w:t>主持过省级以上课题者优先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690" w:hRule="atLeast"/>
          <w:tblCellSpacing w:w="0" w:type="dxa"/>
        </w:trPr>
        <w:tc>
          <w:tcPr>
            <w:tcW w:w="120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87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33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环境工程、环境科学</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1</w:t>
            </w:r>
          </w:p>
        </w:tc>
        <w:tc>
          <w:tcPr>
            <w:tcW w:w="28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Pr>
            <w:r>
              <w:rPr>
                <w:rFonts w:hint="eastAsia" w:ascii="仿宋" w:hAnsi="仿宋" w:eastAsia="仿宋" w:cs="仿宋"/>
                <w:sz w:val="24"/>
                <w:szCs w:val="24"/>
                <w:bdr w:val="none" w:color="auto" w:sz="0" w:space="0"/>
              </w:rPr>
              <w:t>主持过省级以上课题者优先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120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87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33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动物医学（临床兽医学）</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1</w:t>
            </w:r>
          </w:p>
        </w:tc>
        <w:tc>
          <w:tcPr>
            <w:tcW w:w="28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Pr>
            <w:r>
              <w:rPr>
                <w:rFonts w:hint="eastAsia" w:ascii="仿宋" w:hAnsi="仿宋" w:eastAsia="仿宋" w:cs="仿宋"/>
                <w:sz w:val="24"/>
                <w:szCs w:val="24"/>
                <w:bdr w:val="none" w:color="auto" w:sz="0" w:space="0"/>
              </w:rPr>
              <w:t>主持过省级以上课题者优先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120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87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33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动物医学（预防兽医学）</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1</w:t>
            </w:r>
          </w:p>
        </w:tc>
        <w:tc>
          <w:tcPr>
            <w:tcW w:w="28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120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87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33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土壤肥料(植物营养)</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1</w:t>
            </w:r>
          </w:p>
        </w:tc>
        <w:tc>
          <w:tcPr>
            <w:tcW w:w="28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120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87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33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植物保护（植物病理）</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1</w:t>
            </w:r>
          </w:p>
        </w:tc>
        <w:tc>
          <w:tcPr>
            <w:tcW w:w="28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120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87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33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园艺（果树、蔬菜专业）</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2</w:t>
            </w:r>
          </w:p>
        </w:tc>
        <w:tc>
          <w:tcPr>
            <w:tcW w:w="28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Pr>
            <w:r>
              <w:rPr>
                <w:rFonts w:hint="eastAsia" w:ascii="仿宋" w:hAnsi="仿宋" w:eastAsia="仿宋" w:cs="仿宋"/>
                <w:sz w:val="24"/>
                <w:szCs w:val="24"/>
                <w:bdr w:val="none" w:color="auto" w:sz="0" w:space="0"/>
              </w:rPr>
              <w:t>本硕专业一致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120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87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33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建筑学（含园林建筑）</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1</w:t>
            </w:r>
          </w:p>
        </w:tc>
        <w:tc>
          <w:tcPr>
            <w:tcW w:w="28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Pr>
            <w:r>
              <w:rPr>
                <w:rFonts w:hint="eastAsia" w:ascii="仿宋" w:hAnsi="仿宋" w:eastAsia="仿宋" w:cs="仿宋"/>
                <w:sz w:val="24"/>
                <w:szCs w:val="24"/>
                <w:bdr w:val="none" w:color="auto" w:sz="0" w:space="0"/>
              </w:rPr>
              <w:t>本科为建筑学或风景园林学专业，硕士阶段要求学硕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120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87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33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风景园林学</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1</w:t>
            </w:r>
          </w:p>
        </w:tc>
        <w:tc>
          <w:tcPr>
            <w:tcW w:w="28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Pr>
            <w:r>
              <w:rPr>
                <w:rFonts w:hint="eastAsia" w:ascii="仿宋" w:hAnsi="仿宋" w:eastAsia="仿宋" w:cs="仿宋"/>
                <w:sz w:val="24"/>
                <w:szCs w:val="24"/>
                <w:bdr w:val="none" w:color="auto" w:sz="0" w:space="0"/>
              </w:rPr>
              <w:t>本科为园林或风景园林专业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1200"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化生学院</w:t>
            </w:r>
          </w:p>
        </w:tc>
        <w:tc>
          <w:tcPr>
            <w:tcW w:w="87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教研</w:t>
            </w:r>
          </w:p>
        </w:tc>
        <w:tc>
          <w:tcPr>
            <w:tcW w:w="33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分析化学</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1</w:t>
            </w:r>
          </w:p>
        </w:tc>
        <w:tc>
          <w:tcPr>
            <w:tcW w:w="28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Pr>
            <w:r>
              <w:rPr>
                <w:rFonts w:hint="eastAsia" w:ascii="仿宋" w:hAnsi="仿宋" w:eastAsia="仿宋" w:cs="仿宋"/>
                <w:sz w:val="24"/>
                <w:szCs w:val="24"/>
                <w:bdr w:val="none" w:color="auto" w:sz="0" w:space="0"/>
              </w:rPr>
              <w:t>有相关工作经历或本科阶段为化学专业方向者优先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120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87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33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化学工程与工艺</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1</w:t>
            </w:r>
          </w:p>
        </w:tc>
        <w:tc>
          <w:tcPr>
            <w:tcW w:w="2865"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Pr>
            <w:r>
              <w:rPr>
                <w:rFonts w:hint="eastAsia" w:ascii="仿宋" w:hAnsi="仿宋" w:eastAsia="仿宋" w:cs="仿宋"/>
                <w:sz w:val="24"/>
                <w:szCs w:val="24"/>
                <w:bdr w:val="none" w:color="auto" w:sz="0" w:space="0"/>
              </w:rPr>
              <w:t>有相关工作经历者优先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120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87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33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临床药学</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1</w:t>
            </w:r>
          </w:p>
        </w:tc>
        <w:tc>
          <w:tcPr>
            <w:tcW w:w="286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120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87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33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制药工程</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1</w:t>
            </w:r>
          </w:p>
        </w:tc>
        <w:tc>
          <w:tcPr>
            <w:tcW w:w="286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675" w:hRule="atLeast"/>
          <w:tblCellSpacing w:w="0" w:type="dxa"/>
        </w:trPr>
        <w:tc>
          <w:tcPr>
            <w:tcW w:w="120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美容</w:t>
            </w:r>
          </w:p>
          <w:p>
            <w:pPr>
              <w:pStyle w:val="3"/>
              <w:keepNext w:val="0"/>
              <w:keepLines w:val="0"/>
              <w:widowControl/>
              <w:suppressLineNumbers w:val="0"/>
              <w:jc w:val="center"/>
            </w:pPr>
            <w:r>
              <w:rPr>
                <w:rFonts w:hint="eastAsia" w:ascii="仿宋" w:hAnsi="仿宋" w:eastAsia="仿宋" w:cs="仿宋"/>
                <w:sz w:val="24"/>
                <w:szCs w:val="24"/>
                <w:bdr w:val="none" w:color="auto" w:sz="0" w:space="0"/>
              </w:rPr>
              <w:t>医学院</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教研</w:t>
            </w:r>
          </w:p>
        </w:tc>
        <w:tc>
          <w:tcPr>
            <w:tcW w:w="33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美容整形外科方向</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2</w:t>
            </w:r>
          </w:p>
        </w:tc>
        <w:tc>
          <w:tcPr>
            <w:tcW w:w="28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Pr>
            <w:r>
              <w:rPr>
                <w:rFonts w:hint="eastAsia" w:ascii="仿宋" w:hAnsi="仿宋" w:eastAsia="仿宋" w:cs="仿宋"/>
                <w:sz w:val="24"/>
                <w:szCs w:val="24"/>
                <w:bdr w:val="none" w:color="auto" w:sz="0" w:space="0"/>
              </w:rPr>
              <w:t>具有医学背景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65" w:hRule="atLeast"/>
          <w:tblCellSpacing w:w="0" w:type="dxa"/>
        </w:trPr>
        <w:tc>
          <w:tcPr>
            <w:tcW w:w="1200"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医学院</w:t>
            </w:r>
          </w:p>
        </w:tc>
        <w:tc>
          <w:tcPr>
            <w:tcW w:w="87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教研</w:t>
            </w:r>
          </w:p>
        </w:tc>
        <w:tc>
          <w:tcPr>
            <w:tcW w:w="33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临床医学专业</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2</w:t>
            </w:r>
          </w:p>
        </w:tc>
        <w:tc>
          <w:tcPr>
            <w:tcW w:w="28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Pr>
            <w:r>
              <w:rPr>
                <w:rFonts w:hint="eastAsia" w:ascii="仿宋" w:hAnsi="仿宋" w:eastAsia="仿宋" w:cs="仿宋"/>
                <w:sz w:val="24"/>
                <w:szCs w:val="24"/>
                <w:bdr w:val="none" w:color="auto" w:sz="0" w:space="0"/>
              </w:rPr>
              <w:t>具有医学背景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90" w:hRule="atLeast"/>
          <w:tblCellSpacing w:w="0" w:type="dxa"/>
        </w:trPr>
        <w:tc>
          <w:tcPr>
            <w:tcW w:w="120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87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33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预防医学专业</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3</w:t>
            </w:r>
          </w:p>
        </w:tc>
        <w:tc>
          <w:tcPr>
            <w:tcW w:w="2865"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65" w:hRule="atLeast"/>
          <w:tblCellSpacing w:w="0" w:type="dxa"/>
        </w:trPr>
        <w:tc>
          <w:tcPr>
            <w:tcW w:w="120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87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33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基础医学专业</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4</w:t>
            </w:r>
          </w:p>
        </w:tc>
        <w:tc>
          <w:tcPr>
            <w:tcW w:w="286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120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体育学院</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教研</w:t>
            </w:r>
          </w:p>
        </w:tc>
        <w:tc>
          <w:tcPr>
            <w:tcW w:w="33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体育人文社会学、体育教育训练学、运动人体科学、民族传统体育</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5</w:t>
            </w:r>
          </w:p>
        </w:tc>
        <w:tc>
          <w:tcPr>
            <w:tcW w:w="28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Pr>
            <w:r>
              <w:rPr>
                <w:rFonts w:hint="eastAsia" w:ascii="仿宋" w:hAnsi="仿宋" w:eastAsia="仿宋" w:cs="仿宋"/>
                <w:sz w:val="24"/>
                <w:szCs w:val="24"/>
                <w:bdr w:val="none" w:color="auto" w:sz="0" w:space="0"/>
              </w:rPr>
              <w:t>能胜任体育专业课程教学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120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书法艺术学  院</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教研</w:t>
            </w:r>
          </w:p>
        </w:tc>
        <w:tc>
          <w:tcPr>
            <w:tcW w:w="33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书法学或古文字学</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1</w:t>
            </w:r>
          </w:p>
        </w:tc>
        <w:tc>
          <w:tcPr>
            <w:tcW w:w="28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Pr>
            <w:r>
              <w:rPr>
                <w:rFonts w:hint="eastAsia" w:ascii="仿宋" w:hAnsi="仿宋" w:eastAsia="仿宋" w:cs="仿宋"/>
                <w:sz w:val="24"/>
                <w:szCs w:val="24"/>
                <w:bdr w:val="none" w:color="auto" w:sz="0" w:space="0"/>
              </w:rPr>
              <w:t>从事书法研究者优先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60" w:hRule="atLeast"/>
          <w:tblCellSpacing w:w="0" w:type="dxa"/>
        </w:trPr>
        <w:tc>
          <w:tcPr>
            <w:tcW w:w="1200"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经管学院</w:t>
            </w:r>
          </w:p>
        </w:tc>
        <w:tc>
          <w:tcPr>
            <w:tcW w:w="87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教研</w:t>
            </w:r>
          </w:p>
        </w:tc>
        <w:tc>
          <w:tcPr>
            <w:tcW w:w="33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财务管理或会计学</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2</w:t>
            </w:r>
          </w:p>
        </w:tc>
        <w:tc>
          <w:tcPr>
            <w:tcW w:w="2865"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60" w:hRule="atLeast"/>
          <w:tblCellSpacing w:w="0" w:type="dxa"/>
        </w:trPr>
        <w:tc>
          <w:tcPr>
            <w:tcW w:w="120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87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33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旅游管理</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2</w:t>
            </w:r>
          </w:p>
        </w:tc>
        <w:tc>
          <w:tcPr>
            <w:tcW w:w="286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60" w:hRule="atLeast"/>
          <w:tblCellSpacing w:w="0" w:type="dxa"/>
        </w:trPr>
        <w:tc>
          <w:tcPr>
            <w:tcW w:w="120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87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33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国际贸易</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2</w:t>
            </w:r>
          </w:p>
        </w:tc>
        <w:tc>
          <w:tcPr>
            <w:tcW w:w="286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255" w:hRule="atLeast"/>
          <w:tblCellSpacing w:w="0" w:type="dxa"/>
        </w:trPr>
        <w:tc>
          <w:tcPr>
            <w:tcW w:w="120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87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33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管理学</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1</w:t>
            </w:r>
          </w:p>
        </w:tc>
        <w:tc>
          <w:tcPr>
            <w:tcW w:w="286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270" w:hRule="atLeast"/>
          <w:tblCellSpacing w:w="0" w:type="dxa"/>
        </w:trPr>
        <w:tc>
          <w:tcPr>
            <w:tcW w:w="120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87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33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经济学</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1</w:t>
            </w:r>
          </w:p>
        </w:tc>
        <w:tc>
          <w:tcPr>
            <w:tcW w:w="286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90" w:hRule="atLeast"/>
          <w:tblCellSpacing w:w="0" w:type="dxa"/>
        </w:trPr>
        <w:tc>
          <w:tcPr>
            <w:tcW w:w="1200"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宗教文化研究中心</w:t>
            </w:r>
          </w:p>
        </w:tc>
        <w:tc>
          <w:tcPr>
            <w:tcW w:w="87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科研</w:t>
            </w:r>
          </w:p>
        </w:tc>
        <w:tc>
          <w:tcPr>
            <w:tcW w:w="33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中国哲学（先秦哲学方向）</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1</w:t>
            </w:r>
          </w:p>
        </w:tc>
        <w:tc>
          <w:tcPr>
            <w:tcW w:w="2865"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270" w:hRule="atLeast"/>
          <w:tblCellSpacing w:w="0" w:type="dxa"/>
        </w:trPr>
        <w:tc>
          <w:tcPr>
            <w:tcW w:w="120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87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33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宗教学（道教与民间信仰方向）</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1</w:t>
            </w:r>
          </w:p>
        </w:tc>
        <w:tc>
          <w:tcPr>
            <w:tcW w:w="286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270" w:hRule="atLeast"/>
          <w:tblCellSpacing w:w="0" w:type="dxa"/>
        </w:trPr>
        <w:tc>
          <w:tcPr>
            <w:tcW w:w="120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87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33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宗教学（禅宗方向）</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1</w:t>
            </w:r>
          </w:p>
        </w:tc>
        <w:tc>
          <w:tcPr>
            <w:tcW w:w="286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270" w:hRule="atLeast"/>
          <w:tblCellSpacing w:w="0" w:type="dxa"/>
        </w:trPr>
        <w:tc>
          <w:tcPr>
            <w:tcW w:w="120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87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33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宗教学（基督教方向）</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1</w:t>
            </w:r>
          </w:p>
        </w:tc>
        <w:tc>
          <w:tcPr>
            <w:tcW w:w="286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120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学科建设处、研究生工作处</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专技岗</w:t>
            </w:r>
          </w:p>
        </w:tc>
        <w:tc>
          <w:tcPr>
            <w:tcW w:w="33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高等教育管理、教育统计、教育学</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1</w:t>
            </w:r>
          </w:p>
        </w:tc>
        <w:tc>
          <w:tcPr>
            <w:tcW w:w="28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120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应用数学研究中心</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科研</w:t>
            </w:r>
          </w:p>
        </w:tc>
        <w:tc>
          <w:tcPr>
            <w:tcW w:w="33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数学</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2</w:t>
            </w:r>
          </w:p>
        </w:tc>
        <w:tc>
          <w:tcPr>
            <w:tcW w:w="28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Pr>
            <w:r>
              <w:rPr>
                <w:rFonts w:hint="eastAsia" w:ascii="仿宋" w:hAnsi="仿宋" w:eastAsia="仿宋" w:cs="仿宋"/>
                <w:sz w:val="24"/>
                <w:szCs w:val="24"/>
                <w:bdr w:val="none" w:color="auto" w:sz="0" w:space="0"/>
              </w:rPr>
              <w:t>偏微分方程方向优先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120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发展规划处</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专技岗</w:t>
            </w:r>
          </w:p>
        </w:tc>
        <w:tc>
          <w:tcPr>
            <w:tcW w:w="33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教育管理、教育统计、教育学</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1</w:t>
            </w:r>
          </w:p>
        </w:tc>
        <w:tc>
          <w:tcPr>
            <w:tcW w:w="28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120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学工处（心理咨询中心）</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专技岗</w:t>
            </w:r>
          </w:p>
        </w:tc>
        <w:tc>
          <w:tcPr>
            <w:tcW w:w="33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应用心理学</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仿宋" w:hAnsi="仿宋" w:eastAsia="仿宋" w:cs="仿宋"/>
                <w:sz w:val="24"/>
                <w:szCs w:val="24"/>
                <w:bdr w:val="none" w:color="auto" w:sz="0" w:space="0"/>
              </w:rPr>
              <w:t>1</w:t>
            </w:r>
          </w:p>
        </w:tc>
        <w:tc>
          <w:tcPr>
            <w:tcW w:w="28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bl>
    <w:p>
      <w:pPr>
        <w:spacing w:line="420" w:lineRule="exact"/>
        <w:ind w:firstLine="361" w:firstLineChars="150"/>
        <w:rPr>
          <w:rFonts w:hint="eastAsia" w:ascii="仿宋_GB2312" w:eastAsia="仿宋_GB2312"/>
          <w:b/>
          <w:bCs/>
          <w:color w:val="000000"/>
          <w:sz w:val="24"/>
        </w:rPr>
      </w:pPr>
      <w:r>
        <w:rPr>
          <w:rFonts w:hint="eastAsia" w:ascii="仿宋_GB2312" w:eastAsia="仿宋_GB2312"/>
          <w:b/>
          <w:bCs/>
          <w:color w:val="000000"/>
          <w:sz w:val="24"/>
        </w:rPr>
        <w:t>博士引进计划及要求</w:t>
      </w:r>
    </w:p>
    <w:p>
      <w:pPr>
        <w:spacing w:line="420" w:lineRule="exact"/>
        <w:rPr>
          <w:rFonts w:hint="eastAsia" w:ascii="仿宋_GB2312" w:eastAsia="宋体"/>
          <w:b/>
          <w:color w:val="000000"/>
          <w:sz w:val="28"/>
          <w:szCs w:val="28"/>
          <w:lang w:val="en-US" w:eastAsia="zh-CN"/>
        </w:rPr>
      </w:pPr>
      <w:r>
        <w:rPr>
          <w:rFonts w:hint="eastAsia" w:ascii="仿宋_GB2312" w:eastAsia="仿宋_GB2312"/>
          <w:b/>
          <w:color w:val="000000"/>
          <w:sz w:val="28"/>
          <w:szCs w:val="28"/>
          <w:lang w:val="en-US" w:eastAsia="zh-CN"/>
        </w:rPr>
        <w:t xml:space="preserve">    </w:t>
      </w:r>
      <w:r>
        <w:rPr>
          <w:rFonts w:hint="eastAsia" w:ascii="宋体" w:hAnsi="宋体" w:cs="宋体"/>
          <w:color w:val="000000"/>
          <w:sz w:val="21"/>
          <w:szCs w:val="21"/>
        </w:rPr>
        <w:t>广告、广电、编导、文学、地理学、法学、知识产权、管理学、社会学、政治学、马克思主义基本原理、马克思主义中国化、思政教育、近现代史、翻译、语言类、音乐学、钢琴、舞蹈、声乐、美术与设计相关专业、数学、计算机、信息类、自动化，土木工程，电子信息，通信工程、城市规划、土地资源管理、地图制图、环境工程、动物医学、土壤肥料、植物保护、园艺、建筑学、园林学、分析化学、药学、制药工程、美容整形、临床医学、预防医学、基础医学、体育类、书法学、古文字学、财务管理、会计学、旅游管理、国际贸易、经济学、中国哲学、宗教学、数学、心理学、统计学、教育学</w:t>
      </w:r>
      <w:r>
        <w:rPr>
          <w:rFonts w:hint="eastAsia" w:ascii="宋体" w:hAnsi="宋体" w:cs="宋体"/>
          <w:color w:val="000000"/>
          <w:sz w:val="21"/>
          <w:szCs w:val="21"/>
          <w:lang w:eastAsia="zh-CN"/>
        </w:rPr>
        <w:t>等</w:t>
      </w:r>
      <w:r>
        <w:rPr>
          <w:rFonts w:hint="eastAsia" w:ascii="宋体" w:hAnsi="宋体" w:cs="宋体"/>
          <w:color w:val="000000"/>
          <w:sz w:val="21"/>
          <w:szCs w:val="21"/>
          <w:lang w:val="en-US" w:eastAsia="zh-CN"/>
        </w:rPr>
        <w:t>100名。</w:t>
      </w:r>
    </w:p>
    <w:p>
      <w:pPr>
        <w:pStyle w:val="3"/>
        <w:keepNext w:val="0"/>
        <w:keepLines w:val="0"/>
        <w:widowControl/>
        <w:suppressLineNumbers w:val="0"/>
        <w:spacing w:line="405" w:lineRule="atLeast"/>
      </w:pPr>
      <w:r>
        <w:rPr>
          <w:rStyle w:val="5"/>
          <w:rFonts w:hint="default" w:ascii="仿宋_gb2312" w:hAnsi="仿宋_gb2312" w:eastAsia="仿宋_gb2312" w:cs="仿宋_gb2312"/>
          <w:sz w:val="28"/>
          <w:szCs w:val="28"/>
        </w:rPr>
        <w:t>四、引进待遇</w:t>
      </w:r>
    </w:p>
    <w:tbl>
      <w:tblPr>
        <w:tblW w:w="9795"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735"/>
        <w:gridCol w:w="3825"/>
        <w:gridCol w:w="750"/>
        <w:gridCol w:w="44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rHeight w:val="540" w:hRule="atLeast"/>
          <w:tblCellSpacing w:w="0" w:type="dxa"/>
        </w:trPr>
        <w:tc>
          <w:tcPr>
            <w:tcW w:w="4560" w:type="dxa"/>
            <w:gridSpan w:val="2"/>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pPr>
            <w:r>
              <w:rPr>
                <w:rStyle w:val="5"/>
                <w:rFonts w:hint="eastAsia" w:ascii="仿宋" w:hAnsi="仿宋" w:eastAsia="仿宋" w:cs="仿宋"/>
                <w:sz w:val="24"/>
                <w:szCs w:val="24"/>
              </w:rPr>
              <w:t>宜春学院引进待遇</w:t>
            </w:r>
          </w:p>
        </w:tc>
        <w:tc>
          <w:tcPr>
            <w:tcW w:w="5235" w:type="dxa"/>
            <w:gridSpan w:val="2"/>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pPr>
            <w:r>
              <w:rPr>
                <w:rStyle w:val="5"/>
                <w:rFonts w:hint="eastAsia" w:ascii="仿宋" w:hAnsi="仿宋" w:eastAsia="仿宋" w:cs="仿宋"/>
                <w:sz w:val="24"/>
                <w:szCs w:val="24"/>
              </w:rPr>
              <w:t>宜春市优惠政策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555" w:hRule="atLeast"/>
          <w:tblCellSpacing w:w="0" w:type="dxa"/>
        </w:trPr>
        <w:tc>
          <w:tcPr>
            <w:tcW w:w="7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pPr>
            <w:r>
              <w:rPr>
                <w:rStyle w:val="5"/>
                <w:rFonts w:hint="eastAsia" w:ascii="仿宋" w:hAnsi="仿宋" w:eastAsia="仿宋" w:cs="仿宋"/>
                <w:sz w:val="24"/>
                <w:szCs w:val="24"/>
              </w:rPr>
              <w:t>购房补贴</w:t>
            </w:r>
          </w:p>
        </w:tc>
        <w:tc>
          <w:tcPr>
            <w:tcW w:w="38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15" w:lineRule="atLeast"/>
              <w:ind w:left="0" w:firstLine="480"/>
            </w:pPr>
            <w:r>
              <w:rPr>
                <w:rFonts w:hint="eastAsia" w:ascii="仿宋" w:hAnsi="仿宋" w:eastAsia="仿宋" w:cs="仿宋"/>
                <w:sz w:val="24"/>
                <w:szCs w:val="24"/>
                <w:bdr w:val="none" w:color="auto" w:sz="0" w:space="0"/>
              </w:rPr>
              <w:t>提供购房补贴55万元，分6年支付，或凭购房合同一次性预借购房。</w:t>
            </w:r>
          </w:p>
        </w:tc>
        <w:tc>
          <w:tcPr>
            <w:tcW w:w="7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autoSpaceDE w:val="0"/>
              <w:autoSpaceDN/>
              <w:spacing w:before="0" w:beforeAutospacing="0" w:after="0" w:afterAutospacing="0" w:line="315" w:lineRule="atLeast"/>
              <w:ind w:left="0" w:right="0"/>
              <w:jc w:val="center"/>
            </w:pPr>
            <w:r>
              <w:rPr>
                <w:rStyle w:val="5"/>
                <w:rFonts w:hint="eastAsia" w:ascii="仿宋" w:hAnsi="仿宋" w:eastAsia="仿宋" w:cs="仿宋"/>
                <w:sz w:val="24"/>
                <w:szCs w:val="24"/>
              </w:rPr>
              <w:t>购房补贴</w:t>
            </w:r>
          </w:p>
        </w:tc>
        <w:tc>
          <w:tcPr>
            <w:tcW w:w="44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15" w:lineRule="atLeast"/>
              <w:ind w:left="0" w:firstLine="480"/>
            </w:pPr>
            <w:r>
              <w:rPr>
                <w:rFonts w:hint="eastAsia" w:ascii="仿宋" w:hAnsi="仿宋" w:eastAsia="仿宋" w:cs="仿宋"/>
                <w:sz w:val="24"/>
                <w:szCs w:val="24"/>
                <w:bdr w:val="none" w:color="auto" w:sz="0" w:space="0"/>
              </w:rPr>
              <w:t>人才购房补贴20万元，根据在我市购房的合同、税务发票3年内兑现购房补贴。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90" w:hRule="atLeast"/>
          <w:tblCellSpacing w:w="0" w:type="dxa"/>
        </w:trPr>
        <w:tc>
          <w:tcPr>
            <w:tcW w:w="7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pPr>
            <w:r>
              <w:rPr>
                <w:rStyle w:val="5"/>
                <w:rFonts w:hint="eastAsia" w:ascii="仿宋" w:hAnsi="仿宋" w:eastAsia="仿宋" w:cs="仿宋"/>
                <w:sz w:val="24"/>
                <w:szCs w:val="24"/>
              </w:rPr>
              <w:t>科研启动经费</w:t>
            </w:r>
          </w:p>
        </w:tc>
        <w:tc>
          <w:tcPr>
            <w:tcW w:w="38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15" w:lineRule="atLeast"/>
              <w:ind w:left="0" w:firstLine="480"/>
            </w:pPr>
            <w:r>
              <w:rPr>
                <w:rFonts w:hint="eastAsia" w:ascii="仿宋" w:hAnsi="仿宋" w:eastAsia="仿宋" w:cs="仿宋"/>
                <w:sz w:val="24"/>
                <w:szCs w:val="24"/>
                <w:bdr w:val="none" w:color="auto" w:sz="0" w:space="0"/>
              </w:rPr>
              <w:t>提供科研启动经费：文科10万元/人，理工科15万元/人，海（境）外博士适当从优；通过申请国家级、省部级科研立项，学校另提供相应科研配套经费。</w:t>
            </w:r>
          </w:p>
        </w:tc>
        <w:tc>
          <w:tcPr>
            <w:tcW w:w="7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autoSpaceDE w:val="0"/>
              <w:autoSpaceDN/>
              <w:spacing w:before="0" w:beforeAutospacing="0" w:after="0" w:afterAutospacing="0" w:line="315" w:lineRule="atLeast"/>
              <w:ind w:left="0" w:right="0"/>
              <w:jc w:val="center"/>
            </w:pPr>
            <w:r>
              <w:rPr>
                <w:rStyle w:val="5"/>
                <w:rFonts w:hint="eastAsia" w:ascii="仿宋" w:hAnsi="仿宋" w:eastAsia="仿宋" w:cs="仿宋"/>
                <w:sz w:val="24"/>
                <w:szCs w:val="24"/>
              </w:rPr>
              <w:t>生活待遇</w:t>
            </w:r>
          </w:p>
        </w:tc>
        <w:tc>
          <w:tcPr>
            <w:tcW w:w="44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15" w:lineRule="atLeast"/>
              <w:ind w:left="0" w:firstLine="480"/>
            </w:pPr>
            <w:r>
              <w:rPr>
                <w:rFonts w:hint="eastAsia" w:ascii="仿宋" w:hAnsi="仿宋" w:eastAsia="仿宋" w:cs="仿宋"/>
                <w:sz w:val="24"/>
                <w:szCs w:val="24"/>
                <w:bdr w:val="none" w:color="auto" w:sz="0" w:space="0"/>
              </w:rPr>
              <w:t>每月2000元/人生活津贴，发放期3年。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7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pPr>
            <w:r>
              <w:rPr>
                <w:rStyle w:val="5"/>
                <w:rFonts w:hint="eastAsia" w:ascii="仿宋" w:hAnsi="仿宋" w:eastAsia="仿宋" w:cs="仿宋"/>
                <w:sz w:val="24"/>
                <w:szCs w:val="24"/>
              </w:rPr>
              <w:t>学位津贴</w:t>
            </w:r>
          </w:p>
        </w:tc>
        <w:tc>
          <w:tcPr>
            <w:tcW w:w="38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wordWrap w:val="0"/>
              <w:spacing w:line="315" w:lineRule="atLeast"/>
              <w:ind w:left="0" w:firstLine="480"/>
            </w:pPr>
            <w:r>
              <w:rPr>
                <w:rFonts w:hint="eastAsia" w:ascii="仿宋" w:hAnsi="仿宋" w:eastAsia="仿宋" w:cs="仿宋"/>
                <w:sz w:val="24"/>
                <w:szCs w:val="24"/>
                <w:bdr w:val="none" w:color="auto" w:sz="0" w:space="0"/>
              </w:rPr>
              <w:t>服务期内提供学位津贴1000元/月，到校后获得主持立项国家自然科学基金或国家社会科学基金课题，则学位津贴调整为3000元/月，发放期三年（多次获得者可在最后一次获得后再发三年）。</w:t>
            </w:r>
          </w:p>
        </w:tc>
        <w:tc>
          <w:tcPr>
            <w:tcW w:w="7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autoSpaceDE w:val="0"/>
              <w:autoSpaceDN/>
              <w:spacing w:before="0" w:beforeAutospacing="0" w:after="0" w:afterAutospacing="0" w:line="315" w:lineRule="atLeast"/>
              <w:ind w:left="0" w:right="0"/>
              <w:jc w:val="center"/>
            </w:pPr>
            <w:r>
              <w:rPr>
                <w:rStyle w:val="5"/>
                <w:rFonts w:hint="eastAsia" w:ascii="仿宋" w:hAnsi="仿宋" w:eastAsia="仿宋" w:cs="仿宋"/>
                <w:sz w:val="24"/>
                <w:szCs w:val="24"/>
              </w:rPr>
              <w:t>税收补贴</w:t>
            </w:r>
          </w:p>
        </w:tc>
        <w:tc>
          <w:tcPr>
            <w:tcW w:w="44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15" w:lineRule="atLeast"/>
              <w:ind w:left="0" w:firstLine="480"/>
            </w:pPr>
            <w:r>
              <w:rPr>
                <w:rFonts w:hint="eastAsia" w:ascii="仿宋" w:hAnsi="仿宋" w:eastAsia="仿宋" w:cs="仿宋"/>
                <w:sz w:val="24"/>
                <w:szCs w:val="24"/>
                <w:bdr w:val="none" w:color="auto" w:sz="0" w:space="0"/>
              </w:rPr>
              <w:t>以其个人所得税地方留成部分为标准，第一个3年、第二个3年、第三个3年分别给予100%、50%、20%个人奖励。对海外博士进口自用的1辆小汽车，可凭相关证件办理车辆购置税免税手续。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7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pPr>
            <w:r>
              <w:rPr>
                <w:rStyle w:val="5"/>
                <w:rFonts w:hint="eastAsia" w:ascii="仿宋" w:hAnsi="仿宋" w:eastAsia="仿宋" w:cs="仿宋"/>
                <w:sz w:val="24"/>
                <w:szCs w:val="24"/>
              </w:rPr>
              <w:t>工资待遇</w:t>
            </w:r>
          </w:p>
        </w:tc>
        <w:tc>
          <w:tcPr>
            <w:tcW w:w="38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15" w:lineRule="atLeast"/>
              <w:ind w:left="0" w:firstLine="480"/>
            </w:pPr>
            <w:r>
              <w:rPr>
                <w:rFonts w:hint="eastAsia" w:ascii="仿宋" w:hAnsi="仿宋" w:eastAsia="仿宋" w:cs="仿宋"/>
                <w:sz w:val="24"/>
                <w:szCs w:val="24"/>
                <w:bdr w:val="none" w:color="auto" w:sz="0" w:space="0"/>
              </w:rPr>
              <w:t>前三年享受七级副教授津贴，符合条件者可申报学校内聘教授，入选后可享受相应内聘岗位津贴待遇。</w:t>
            </w:r>
          </w:p>
        </w:tc>
        <w:tc>
          <w:tcPr>
            <w:tcW w:w="7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autoSpaceDE w:val="0"/>
              <w:autoSpaceDN/>
              <w:spacing w:before="0" w:beforeAutospacing="0" w:after="0" w:afterAutospacing="0" w:line="315" w:lineRule="atLeast"/>
              <w:ind w:left="0" w:right="0"/>
              <w:jc w:val="center"/>
            </w:pPr>
            <w:r>
              <w:rPr>
                <w:rStyle w:val="5"/>
                <w:rFonts w:hint="eastAsia" w:ascii="仿宋" w:hAnsi="仿宋" w:eastAsia="仿宋" w:cs="仿宋"/>
                <w:sz w:val="24"/>
                <w:szCs w:val="24"/>
              </w:rPr>
              <w:t>职称评定</w:t>
            </w:r>
          </w:p>
        </w:tc>
        <w:tc>
          <w:tcPr>
            <w:tcW w:w="44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15" w:lineRule="atLeast"/>
              <w:ind w:left="0" w:firstLine="480"/>
            </w:pPr>
            <w:r>
              <w:rPr>
                <w:rFonts w:hint="eastAsia" w:ascii="仿宋" w:hAnsi="仿宋" w:eastAsia="仿宋" w:cs="仿宋"/>
                <w:sz w:val="24"/>
                <w:szCs w:val="24"/>
                <w:bdr w:val="none" w:color="auto" w:sz="0" w:space="0"/>
              </w:rPr>
              <w:t>可不受资历、“台阶”等限制，按留学回国人员或有突出贡献人才专业技术资格审定办法，申报高级专业技术资格。特别优秀的博士后可申请认定副高级专业技术资格。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7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pPr>
            <w:r>
              <w:rPr>
                <w:rStyle w:val="5"/>
                <w:rFonts w:hint="eastAsia" w:ascii="仿宋" w:hAnsi="仿宋" w:eastAsia="仿宋" w:cs="仿宋"/>
                <w:sz w:val="24"/>
                <w:szCs w:val="24"/>
              </w:rPr>
              <w:t>服务期限</w:t>
            </w:r>
          </w:p>
        </w:tc>
        <w:tc>
          <w:tcPr>
            <w:tcW w:w="38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15" w:lineRule="atLeast"/>
              <w:ind w:left="0" w:firstLine="480"/>
            </w:pPr>
            <w:r>
              <w:rPr>
                <w:rFonts w:hint="eastAsia" w:ascii="仿宋" w:hAnsi="仿宋" w:eastAsia="仿宋" w:cs="仿宋"/>
                <w:sz w:val="24"/>
                <w:szCs w:val="24"/>
                <w:bdr w:val="none" w:color="auto" w:sz="0" w:space="0"/>
              </w:rPr>
              <w:t>博士服务期原则上为8年，亦可选择弹性服务期3-8年，购房补贴及科研启动经费按年度折算。</w:t>
            </w:r>
          </w:p>
        </w:tc>
        <w:tc>
          <w:tcPr>
            <w:tcW w:w="7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autoSpaceDE w:val="0"/>
              <w:autoSpaceDN/>
              <w:spacing w:before="0" w:beforeAutospacing="0" w:after="0" w:afterAutospacing="0" w:line="315" w:lineRule="atLeast"/>
              <w:ind w:left="0" w:right="0"/>
              <w:jc w:val="center"/>
            </w:pPr>
            <w:r>
              <w:rPr>
                <w:rStyle w:val="5"/>
                <w:rFonts w:hint="eastAsia" w:ascii="仿宋" w:hAnsi="仿宋" w:eastAsia="仿宋" w:cs="仿宋"/>
                <w:sz w:val="24"/>
                <w:szCs w:val="24"/>
              </w:rPr>
              <w:t>成果奖励</w:t>
            </w:r>
          </w:p>
        </w:tc>
        <w:tc>
          <w:tcPr>
            <w:tcW w:w="44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15" w:lineRule="atLeast"/>
              <w:ind w:left="0" w:firstLine="480"/>
            </w:pPr>
            <w:r>
              <w:rPr>
                <w:rFonts w:hint="eastAsia" w:ascii="仿宋" w:hAnsi="仿宋" w:eastAsia="仿宋" w:cs="仿宋"/>
                <w:sz w:val="24"/>
                <w:szCs w:val="24"/>
                <w:bdr w:val="none" w:color="auto" w:sz="0" w:space="0"/>
              </w:rPr>
              <w:t>科研项目获得国家级、省级奖励的，由市政府按相关奖励标准1∶1比例配套支持；属集体完成的科研项目，项目主要完成人获奖金额不低于奖金总额的50%。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90" w:hRule="atLeast"/>
          <w:tblCellSpacing w:w="0" w:type="dxa"/>
        </w:trPr>
        <w:tc>
          <w:tcPr>
            <w:tcW w:w="7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pPr>
            <w:r>
              <w:rPr>
                <w:rStyle w:val="5"/>
                <w:rFonts w:hint="eastAsia" w:ascii="仿宋" w:hAnsi="仿宋" w:eastAsia="仿宋" w:cs="仿宋"/>
                <w:sz w:val="24"/>
                <w:szCs w:val="24"/>
              </w:rPr>
              <w:t>配偶安置</w:t>
            </w:r>
          </w:p>
        </w:tc>
        <w:tc>
          <w:tcPr>
            <w:tcW w:w="38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15" w:lineRule="atLeast"/>
              <w:ind w:left="0" w:firstLine="480"/>
            </w:pPr>
            <w:r>
              <w:rPr>
                <w:rFonts w:hint="eastAsia" w:ascii="仿宋" w:hAnsi="仿宋" w:eastAsia="仿宋" w:cs="仿宋"/>
                <w:sz w:val="24"/>
                <w:szCs w:val="24"/>
                <w:bdr w:val="none" w:color="auto" w:sz="0" w:space="0"/>
              </w:rPr>
              <w:t>根据配偶条件安置工作：1.配偶具有硕士研究生及以上学历学位者可办理上编手续；夫妻分居、配偶为国家公务员或全额拨款事业单位编制内工作人员可随博士调入；其他博士配偶学校统筹在校内编制外合同聘用。以上均要求博士配偶具有专科以上学历，且原则上年龄不超过40岁。</w:t>
            </w:r>
          </w:p>
        </w:tc>
        <w:tc>
          <w:tcPr>
            <w:tcW w:w="7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autoSpaceDE w:val="0"/>
              <w:autoSpaceDN/>
              <w:spacing w:before="0" w:beforeAutospacing="0" w:after="0" w:afterAutospacing="0" w:line="315" w:lineRule="atLeast"/>
              <w:ind w:left="0" w:right="0"/>
              <w:jc w:val="center"/>
            </w:pPr>
            <w:r>
              <w:rPr>
                <w:rStyle w:val="5"/>
                <w:rFonts w:hint="eastAsia" w:ascii="仿宋" w:hAnsi="仿宋" w:eastAsia="仿宋" w:cs="仿宋"/>
                <w:sz w:val="24"/>
                <w:szCs w:val="24"/>
              </w:rPr>
              <w:t>子女入学</w:t>
            </w:r>
          </w:p>
        </w:tc>
        <w:tc>
          <w:tcPr>
            <w:tcW w:w="44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15" w:lineRule="atLeast"/>
              <w:ind w:left="0" w:firstLine="480"/>
            </w:pPr>
            <w:r>
              <w:rPr>
                <w:rFonts w:hint="eastAsia" w:ascii="仿宋" w:hAnsi="仿宋" w:eastAsia="仿宋" w:cs="仿宋"/>
                <w:sz w:val="24"/>
                <w:szCs w:val="24"/>
                <w:bdr w:val="none" w:color="auto" w:sz="0" w:space="0"/>
              </w:rPr>
              <w:t>子女随迁，属于义务教育阶段学生，可优先择校，不受划片招生范围的限制，免试入学，享受本行政区域学生就读的同等待遇；就读普通高中的，可享受均衡生资格。非我市户籍子女，在我市就读义务教育阶段学校和普通高中期间，享受我市户籍学生同等待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7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pPr>
            <w:r>
              <w:rPr>
                <w:rStyle w:val="5"/>
                <w:rFonts w:hint="eastAsia" w:ascii="仿宋" w:hAnsi="仿宋" w:eastAsia="仿宋" w:cs="仿宋"/>
                <w:sz w:val="24"/>
                <w:szCs w:val="24"/>
              </w:rPr>
              <w:t>试讲车费</w:t>
            </w:r>
          </w:p>
        </w:tc>
        <w:tc>
          <w:tcPr>
            <w:tcW w:w="38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15" w:lineRule="atLeast"/>
              <w:ind w:left="0" w:firstLine="720"/>
            </w:pPr>
            <w:r>
              <w:rPr>
                <w:rFonts w:hint="eastAsia" w:ascii="仿宋" w:hAnsi="仿宋" w:eastAsia="仿宋" w:cs="仿宋"/>
                <w:sz w:val="24"/>
                <w:szCs w:val="24"/>
                <w:bdr w:val="none" w:color="auto" w:sz="0" w:space="0"/>
              </w:rPr>
              <w:t>接受邀请来校试讲的博士可报销往返车船费用。</w:t>
            </w:r>
          </w:p>
        </w:tc>
        <w:tc>
          <w:tcPr>
            <w:tcW w:w="7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autoSpaceDE w:val="0"/>
              <w:autoSpaceDN/>
              <w:spacing w:before="0" w:beforeAutospacing="0" w:after="0" w:afterAutospacing="0" w:line="315" w:lineRule="atLeast"/>
              <w:ind w:left="0" w:right="0"/>
              <w:jc w:val="center"/>
            </w:pPr>
            <w:r>
              <w:rPr>
                <w:rStyle w:val="5"/>
                <w:rFonts w:hint="eastAsia" w:ascii="仿宋" w:hAnsi="仿宋" w:eastAsia="仿宋" w:cs="仿宋"/>
                <w:sz w:val="24"/>
                <w:szCs w:val="24"/>
              </w:rPr>
              <w:t>旅游优惠</w:t>
            </w:r>
          </w:p>
        </w:tc>
        <w:tc>
          <w:tcPr>
            <w:tcW w:w="44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15" w:lineRule="atLeast"/>
              <w:ind w:left="0" w:firstLine="480"/>
            </w:pPr>
            <w:r>
              <w:rPr>
                <w:rFonts w:hint="eastAsia" w:ascii="仿宋" w:hAnsi="仿宋" w:eastAsia="仿宋" w:cs="仿宋"/>
                <w:sz w:val="24"/>
                <w:szCs w:val="24"/>
                <w:bdr w:val="none" w:color="auto" w:sz="0" w:space="0"/>
              </w:rPr>
              <w:t>引进的高层次人才到市内景区旅游、观光休闲的，可凭《宜春市高层次人才服务卡》，享受旅游部门指定景区免门票等优惠。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7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pPr>
            <w:r>
              <w:rPr>
                <w:rStyle w:val="5"/>
                <w:rFonts w:hint="eastAsia" w:ascii="仿宋" w:hAnsi="仿宋" w:eastAsia="仿宋" w:cs="仿宋"/>
                <w:sz w:val="24"/>
                <w:szCs w:val="24"/>
              </w:rPr>
              <w:t>其他</w:t>
            </w:r>
          </w:p>
        </w:tc>
        <w:tc>
          <w:tcPr>
            <w:tcW w:w="38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15" w:lineRule="atLeast"/>
              <w:ind w:left="0" w:firstLine="480"/>
            </w:pPr>
            <w:r>
              <w:rPr>
                <w:rFonts w:hint="eastAsia" w:ascii="仿宋" w:hAnsi="仿宋" w:eastAsia="仿宋" w:cs="仿宋"/>
                <w:sz w:val="24"/>
                <w:szCs w:val="24"/>
                <w:bdr w:val="none" w:color="auto" w:sz="0" w:space="0"/>
              </w:rPr>
              <w:t>引进对象第1、2类人才，待遇一人一议；引进对象第3类人才中特别优秀者或学校急需紧缺博士，待遇另行面议。</w:t>
            </w:r>
          </w:p>
        </w:tc>
        <w:tc>
          <w:tcPr>
            <w:tcW w:w="7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autoSpaceDE w:val="0"/>
              <w:autoSpaceDN/>
              <w:spacing w:before="0" w:beforeAutospacing="0" w:after="0" w:afterAutospacing="0" w:line="315" w:lineRule="atLeast"/>
              <w:ind w:left="0" w:right="0"/>
              <w:jc w:val="center"/>
            </w:pPr>
            <w:r>
              <w:rPr>
                <w:rStyle w:val="5"/>
                <w:rFonts w:hint="eastAsia" w:ascii="仿宋" w:hAnsi="仿宋" w:eastAsia="仿宋" w:cs="仿宋"/>
                <w:sz w:val="24"/>
                <w:szCs w:val="24"/>
              </w:rPr>
              <w:t>激励机制</w:t>
            </w:r>
          </w:p>
        </w:tc>
        <w:tc>
          <w:tcPr>
            <w:tcW w:w="44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15" w:lineRule="atLeast"/>
              <w:ind w:left="0" w:firstLine="480"/>
            </w:pPr>
            <w:r>
              <w:rPr>
                <w:rFonts w:hint="eastAsia" w:ascii="仿宋" w:hAnsi="仿宋" w:eastAsia="仿宋" w:cs="仿宋"/>
                <w:sz w:val="24"/>
                <w:szCs w:val="24"/>
                <w:bdr w:val="none" w:color="auto" w:sz="0" w:space="0"/>
              </w:rPr>
              <w:t>定期奖励一批为我市经济社会发展做出突出贡献的高层次人才，推荐优秀人才作为党代表、人大代表、政协委员人选和劳动模范、“三八红旗手”等。</w:t>
            </w:r>
          </w:p>
        </w:tc>
      </w:tr>
    </w:tbl>
    <w:p>
      <w:pPr>
        <w:pStyle w:val="3"/>
        <w:keepNext w:val="0"/>
        <w:keepLines w:val="0"/>
        <w:widowControl/>
        <w:suppressLineNumbers w:val="0"/>
        <w:spacing w:line="405" w:lineRule="atLeast"/>
      </w:pPr>
      <w:r>
        <w:rPr>
          <w:rStyle w:val="5"/>
          <w:rFonts w:hint="default" w:ascii="仿宋_gb2312" w:hAnsi="仿宋_gb2312" w:eastAsia="仿宋_gb2312" w:cs="仿宋_gb2312"/>
          <w:sz w:val="28"/>
          <w:szCs w:val="28"/>
        </w:rPr>
        <w:t>五、投递简历方式</w:t>
      </w:r>
    </w:p>
    <w:p>
      <w:pPr>
        <w:pStyle w:val="3"/>
        <w:keepNext w:val="0"/>
        <w:keepLines w:val="0"/>
        <w:widowControl/>
        <w:suppressLineNumbers w:val="0"/>
        <w:spacing w:line="405" w:lineRule="atLeast"/>
        <w:ind w:left="0" w:firstLine="420"/>
      </w:pPr>
      <w:bookmarkStart w:id="3" w:name="_GoBack"/>
      <w:bookmarkEnd w:id="3"/>
      <w:r>
        <w:rPr>
          <w:rFonts w:hint="default" w:ascii="仿宋_gb2312" w:hAnsi="仿宋_gb2312" w:eastAsia="仿宋_gb2312" w:cs="仿宋_gb2312"/>
          <w:sz w:val="28"/>
          <w:szCs w:val="28"/>
        </w:rPr>
        <w:t>投递邮箱：</w:t>
      </w:r>
      <w:r>
        <w:rPr>
          <w:rFonts w:hint="eastAsia" w:ascii="仿宋_gb2312" w:hAnsi="仿宋_gb2312" w:eastAsia="仿宋_gb2312" w:cs="仿宋_gb2312"/>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"mailto:2179215869@qq.com" </w:instrText>
      </w:r>
      <w:r>
        <w:rPr>
          <w:rFonts w:hint="eastAsia" w:ascii="仿宋_gb2312" w:hAnsi="仿宋_gb2312" w:eastAsia="仿宋_gb2312" w:cs="仿宋_gb2312"/>
          <w:sz w:val="28"/>
          <w:szCs w:val="28"/>
          <w:lang w:val="en-US" w:eastAsia="zh-CN"/>
        </w:rPr>
        <w:fldChar w:fldCharType="separate"/>
      </w:r>
      <w:r>
        <w:rPr>
          <w:rStyle w:val="6"/>
          <w:rFonts w:hint="eastAsia" w:ascii="仿宋_gb2312" w:hAnsi="仿宋_gb2312" w:eastAsia="仿宋_gb2312" w:cs="仿宋_gb2312"/>
          <w:sz w:val="28"/>
          <w:szCs w:val="28"/>
          <w:lang w:val="en-US" w:eastAsia="zh-CN"/>
        </w:rPr>
        <w:t>2179215869@qq.com</w:t>
      </w:r>
      <w:r>
        <w:rPr>
          <w:rFonts w:hint="eastAsia" w:ascii="仿宋_gb2312" w:hAnsi="仿宋_gb2312" w:eastAsia="仿宋_gb2312" w:cs="仿宋_gb2312"/>
          <w:sz w:val="28"/>
          <w:szCs w:val="28"/>
          <w:lang w:val="en-US" w:eastAsia="zh-CN"/>
        </w:rPr>
        <w:fldChar w:fldCharType="end"/>
      </w:r>
      <w:r>
        <w:rPr>
          <w:rFonts w:hint="eastAsia" w:ascii="仿宋_gb2312" w:hAnsi="仿宋_gb2312" w:eastAsia="仿宋_gb2312" w:cs="仿宋_gb2312"/>
          <w:sz w:val="28"/>
          <w:szCs w:val="28"/>
          <w:lang w:val="en-US" w:eastAsia="zh-CN"/>
        </w:rPr>
        <w:t xml:space="preserve"> </w:t>
      </w:r>
      <w:r>
        <w:rPr>
          <w:rFonts w:hint="default" w:ascii="仿宋_gb2312" w:hAnsi="仿宋_gb2312" w:eastAsia="仿宋_gb2312" w:cs="仿宋_gb2312"/>
          <w:sz w:val="28"/>
          <w:szCs w:val="28"/>
        </w:rPr>
        <w:t>，邮件名为：</w:t>
      </w:r>
      <w:r>
        <w:rPr>
          <w:rFonts w:hint="eastAsia" w:ascii="仿宋_gb2312" w:hAnsi="仿宋_gb2312" w:eastAsia="仿宋_gb2312" w:cs="仿宋_gb2312"/>
          <w:sz w:val="28"/>
          <w:szCs w:val="28"/>
          <w:lang w:eastAsia="zh-CN"/>
        </w:rPr>
        <w:t>宜春学院</w:t>
      </w:r>
      <w:r>
        <w:rPr>
          <w:rFonts w:hint="eastAsia" w:ascii="仿宋_gb2312" w:hAnsi="仿宋_gb2312" w:eastAsia="仿宋_gb2312" w:cs="仿宋_gb2312"/>
          <w:sz w:val="28"/>
          <w:szCs w:val="28"/>
          <w:lang w:val="en-US" w:eastAsia="zh-CN"/>
        </w:rPr>
        <w:t>+</w:t>
      </w:r>
      <w:r>
        <w:rPr>
          <w:rFonts w:hint="default" w:ascii="仿宋_gb2312" w:hAnsi="仿宋_gb2312" w:eastAsia="仿宋_gb2312" w:cs="仿宋_gb2312"/>
          <w:sz w:val="28"/>
          <w:szCs w:val="28"/>
        </w:rPr>
        <w:t>姓名+</w:t>
      </w:r>
      <w:r>
        <w:rPr>
          <w:rFonts w:hint="eastAsia" w:ascii="仿宋_gb2312" w:hAnsi="仿宋_gb2312" w:eastAsia="仿宋_gb2312" w:cs="仿宋_gb2312"/>
          <w:sz w:val="28"/>
          <w:szCs w:val="28"/>
          <w:lang w:eastAsia="zh-CN"/>
        </w:rPr>
        <w:t>博士</w:t>
      </w:r>
      <w:r>
        <w:rPr>
          <w:rFonts w:hint="default" w:ascii="仿宋_gb2312" w:hAnsi="仿宋_gb2312" w:eastAsia="仿宋_gb2312" w:cs="仿宋_gb2312"/>
          <w:sz w:val="28"/>
          <w:szCs w:val="28"/>
        </w:rPr>
        <w:t>+应聘岗位+毕业学校及专业。</w:t>
      </w:r>
    </w:p>
    <w:p>
      <w:pPr>
        <w:pStyle w:val="3"/>
        <w:keepNext w:val="0"/>
        <w:keepLines w:val="0"/>
        <w:widowControl/>
        <w:suppressLineNumbers w:val="0"/>
        <w:spacing w:line="405" w:lineRule="atLeast"/>
        <w:ind w:left="0" w:firstLine="420"/>
        <w:rPr>
          <w:rFonts w:hint="eastAsia" w:eastAsia="仿宋_gb2312"/>
          <w:lang w:val="en-US" w:eastAsia="zh-CN"/>
        </w:rPr>
      </w:pPr>
      <w:r>
        <w:rPr>
          <w:rFonts w:hint="default" w:ascii="仿宋_gb2312" w:hAnsi="仿宋_gb2312" w:eastAsia="仿宋_gb2312" w:cs="仿宋_gb2312"/>
          <w:sz w:val="28"/>
          <w:szCs w:val="28"/>
        </w:rPr>
        <w:t>联系电话：</w:t>
      </w:r>
      <w:r>
        <w:rPr>
          <w:rFonts w:hint="eastAsia" w:ascii="仿宋_gb2312" w:hAnsi="仿宋_gb2312" w:eastAsia="仿宋_gb2312" w:cs="仿宋_gb2312"/>
          <w:sz w:val="28"/>
          <w:szCs w:val="28"/>
          <w:lang w:val="en-US" w:eastAsia="zh-CN"/>
        </w:rPr>
        <w:t>13297952708 戴老师</w:t>
      </w:r>
    </w:p>
    <w:p>
      <w:pPr>
        <w:pStyle w:val="3"/>
        <w:keepNext w:val="0"/>
        <w:keepLines w:val="0"/>
        <w:widowControl/>
        <w:suppressLineNumbers w:val="0"/>
        <w:spacing w:line="405" w:lineRule="atLeast"/>
        <w:ind w:left="0" w:firstLine="420"/>
      </w:pPr>
      <w:r>
        <w:rPr>
          <w:rFonts w:hint="default" w:ascii="仿宋_gb2312" w:hAnsi="仿宋_gb2312" w:eastAsia="仿宋_gb2312" w:cs="仿宋_gb2312"/>
          <w:sz w:val="28"/>
          <w:szCs w:val="28"/>
        </w:rPr>
        <w:t>地址：江西省宜春市学府路576号         邮编：336000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63CE4"/>
    <w:multiLevelType w:val="singleLevel"/>
    <w:tmpl w:val="5E863CE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3D36D9"/>
    <w:rsid w:val="1DE16A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 w:type="character" w:customStyle="1" w:styleId="8">
    <w:name w:val="xubox_tabnow"/>
    <w:basedOn w:val="4"/>
    <w:uiPriority w:val="0"/>
    <w:rPr>
      <w:bdr w:val="single" w:color="CCCCCC" w:sz="6" w:space="0"/>
      <w:shd w:val="clear" w:fill="FFFFFF"/>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2018-12-25T10:09:20Z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