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482" w:firstLineChars="100"/>
      </w:pPr>
      <w:r>
        <w:t>宜春学院2019年</w:t>
      </w:r>
      <w:r>
        <w:rPr>
          <w:rFonts w:hint="eastAsia"/>
          <w:lang w:eastAsia="zh-CN"/>
        </w:rPr>
        <w:t>博士</w:t>
      </w:r>
      <w:r>
        <w:t xml:space="preserve">人才引进公告 </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auto"/>
        <w:textAlignment w:val="auto"/>
        <w:rPr>
          <w:rFonts w:hint="default" w:ascii="仿宋_gb2312" w:hAnsi="仿宋_gb2312" w:eastAsia="仿宋_gb2312" w:cs="仿宋_gb2312"/>
          <w:sz w:val="28"/>
          <w:szCs w:val="28"/>
        </w:rPr>
      </w:pPr>
      <w:bookmarkStart w:id="0" w:name="OLE_LINK4"/>
      <w:bookmarkEnd w:id="0"/>
      <w:bookmarkStart w:id="1" w:name="OLE_LINK5"/>
      <w:bookmarkEnd w:id="1"/>
      <w:bookmarkStart w:id="2" w:name="OLE_LINK6"/>
      <w:r>
        <w:rPr>
          <w:rStyle w:val="5"/>
          <w:rFonts w:ascii="仿宋_gb2312" w:hAnsi="仿宋_gb2312" w:eastAsia="仿宋_gb2312" w:cs="仿宋_gb2312"/>
          <w:sz w:val="28"/>
          <w:szCs w:val="28"/>
        </w:rPr>
        <w:t>学校概况</w:t>
      </w:r>
      <w:bookmarkEnd w:id="2"/>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right="0" w:rightChars="0" w:firstLine="57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宜春学院是2000年1月，经国家教育部批准成立的全日制公办本科院校。学校地处赣西中心城市——江西省宜春市，环境优美，交通便利。</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ind w:left="0" w:firstLine="420"/>
        <w:textAlignment w:val="auto"/>
      </w:pPr>
      <w:r>
        <w:rPr>
          <w:rFonts w:hint="default" w:ascii="仿宋_gb2312" w:hAnsi="仿宋_gb2312" w:eastAsia="仿宋_gb2312" w:cs="仿宋_gb2312"/>
          <w:sz w:val="28"/>
          <w:szCs w:val="28"/>
        </w:rPr>
        <w:t>学校占地136万余平方米；现有全日制在校硕士研究生、本科生、专科生、外国留学生近2万人；有专任教师1019人，外聘教师233人，其中，高级职称人员占40%以上，博士、硕士近80%；学校外聘袁隆平、陈立泉、钟世镇、樊代明、钟秉林、丁健、庄松林、陈仙辉、邱振中、郭磊等100多名高级专家为名誉教授、客座教授。</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ind w:left="0" w:firstLine="555"/>
        <w:textAlignment w:val="auto"/>
      </w:pPr>
      <w:r>
        <w:rPr>
          <w:rFonts w:hint="default" w:ascii="仿宋_gb2312" w:hAnsi="仿宋_gb2312" w:eastAsia="仿宋_gb2312" w:cs="仿宋_gb2312"/>
          <w:sz w:val="28"/>
          <w:szCs w:val="28"/>
        </w:rPr>
        <w:t>学校形成了以教育学、医学、农学为主，文学、理学、工学、经济学、法学、管理学、艺术学等多学科协调发展的学科体系。有国家级特色专业、“卓越人才教育培养计划”专业4个，国家级专业综合改革试点1个，国家级大学生校外实践基地1个；有省级重点学科4个，省级特色专业8个，省级“卓越人才教育培养计划”试点4个，省级综合改革试点4个，省级人才培养模式创新实验区2个，省高校实验教学示范中心3个；有省级重点实验室、高校重点实验室（工程中心、基地）6个，省文化艺术科学重点研究基地1个；有省2011协同创新中心1个，博士后科研工作站1个，院士工作站点2个。2011年，经国务院学位委员会批准，我校被批准为“服务国家特殊需求项目——学士学位授予单位开展培养硕士专业学位研究生试点工作单位”。2015年，我校被确定为江西省首批转型发展试点高校之一。</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ind w:left="0" w:firstLine="420"/>
        <w:textAlignment w:val="auto"/>
      </w:pPr>
      <w:r>
        <w:rPr>
          <w:rFonts w:hint="default" w:ascii="仿宋_gb2312" w:hAnsi="仿宋_gb2312" w:eastAsia="仿宋_gb2312" w:cs="仿宋_gb2312"/>
          <w:sz w:val="28"/>
          <w:szCs w:val="28"/>
        </w:rPr>
        <w:t>目前，宜春学院在学校 “十三五”发展规划的引领下，着力打造事业发展的“升级版”，正沿着建设特色鲜明的高水平地方性应用型大学目标阔步前进。</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textAlignment w:val="auto"/>
      </w:pPr>
      <w:r>
        <w:rPr>
          <w:rStyle w:val="5"/>
          <w:rFonts w:hint="default" w:ascii="仿宋_gb2312" w:hAnsi="仿宋_gb2312" w:eastAsia="仿宋_gb2312" w:cs="仿宋_gb2312"/>
          <w:sz w:val="28"/>
          <w:szCs w:val="28"/>
        </w:rPr>
        <w:t>二、引进对象</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ind w:left="0" w:firstLine="555"/>
        <w:textAlignment w:val="auto"/>
      </w:pPr>
      <w:r>
        <w:rPr>
          <w:rFonts w:hint="default" w:ascii="仿宋_gb2312" w:hAnsi="仿宋_gb2312" w:eastAsia="仿宋_gb2312" w:cs="仿宋_gb2312"/>
          <w:sz w:val="28"/>
          <w:szCs w:val="28"/>
        </w:rPr>
        <w:t>第一类： “两院”院士、长江学者、国家级有突出贡献的中青年专家、国家级学科学术与技术带头人、国家“千人计划”入选者、国家百人计划入选者、国家级教学名师、“新世纪百千万人才工程”国家级人选、国务院特贴专家等；</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ind w:left="0" w:firstLine="555"/>
        <w:textAlignment w:val="auto"/>
      </w:pPr>
      <w:r>
        <w:rPr>
          <w:rFonts w:hint="default" w:ascii="仿宋_gb2312" w:hAnsi="仿宋_gb2312" w:eastAsia="仿宋_gb2312" w:cs="仿宋_gb2312"/>
          <w:sz w:val="28"/>
          <w:szCs w:val="28"/>
        </w:rPr>
        <w:t>第二类：省级主要学科学术与技术带头人、赣鄱“555”人才工程人选、“井冈学者”特聘教授、教育部新世纪优秀人才支持计划人选、省级突出贡献中青年专家、省政府特殊津贴人员、省级教学名师、省级“新世纪百千万人才工程”人选、江西省青年科学家（井冈之星）培养对象、省级以上中青年学科带头人等；</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ind w:left="0" w:firstLine="420"/>
        <w:textAlignment w:val="auto"/>
      </w:pPr>
      <w:r>
        <w:rPr>
          <w:rFonts w:hint="default" w:ascii="仿宋_gb2312" w:hAnsi="仿宋_gb2312" w:eastAsia="仿宋_gb2312" w:cs="仿宋_gb2312"/>
          <w:sz w:val="28"/>
          <w:szCs w:val="28"/>
        </w:rPr>
        <w:t>第三类：学科和专业建设所需的海（境）内外博士、博士后。</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textAlignment w:val="auto"/>
      </w:pPr>
      <w:r>
        <w:rPr>
          <w:rStyle w:val="5"/>
          <w:rFonts w:hint="default" w:ascii="仿宋_gb2312" w:hAnsi="仿宋_gb2312" w:eastAsia="仿宋_gb2312" w:cs="仿宋_gb2312"/>
          <w:sz w:val="28"/>
          <w:szCs w:val="28"/>
        </w:rPr>
        <w:t>三、引进计划及要求</w:t>
      </w:r>
    </w:p>
    <w:p>
      <w:pPr>
        <w:pStyle w:val="3"/>
        <w:keepNext w:val="0"/>
        <w:keepLines w:val="0"/>
        <w:pageBreakBefore w:val="0"/>
        <w:widowControl/>
        <w:suppressLineNumbers w:val="0"/>
        <w:kinsoku/>
        <w:wordWrap/>
        <w:overflowPunct/>
        <w:topLinePunct w:val="0"/>
        <w:autoSpaceDE/>
        <w:autoSpaceDN/>
        <w:bidi w:val="0"/>
        <w:adjustRightInd/>
        <w:snapToGrid/>
        <w:spacing w:line="480" w:lineRule="auto"/>
        <w:ind w:left="0" w:firstLine="420"/>
        <w:textAlignment w:val="auto"/>
      </w:pPr>
      <w:r>
        <w:rPr>
          <w:rStyle w:val="5"/>
          <w:rFonts w:hint="default" w:ascii="仿宋_gb2312" w:hAnsi="仿宋_gb2312" w:eastAsia="仿宋_gb2312" w:cs="仿宋_gb2312"/>
          <w:sz w:val="28"/>
          <w:szCs w:val="28"/>
        </w:rPr>
        <w:t>（一）高端和优秀人才。</w:t>
      </w:r>
      <w:r>
        <w:rPr>
          <w:rFonts w:hint="default" w:ascii="仿宋_gb2312" w:hAnsi="仿宋_gb2312" w:eastAsia="仿宋_gb2312" w:cs="仿宋_gb2312"/>
          <w:sz w:val="28"/>
          <w:szCs w:val="28"/>
        </w:rPr>
        <w:t>符合第一、第二类引进人才为高端和优秀人才，不设指标限制，年龄不超过55周岁。</w:t>
      </w:r>
    </w:p>
    <w:p>
      <w:pPr>
        <w:pStyle w:val="3"/>
        <w:keepNext w:val="0"/>
        <w:keepLines w:val="0"/>
        <w:widowControl/>
        <w:suppressLineNumbers w:val="0"/>
        <w:spacing w:line="420" w:lineRule="atLeast"/>
        <w:ind w:left="0" w:firstLine="420"/>
      </w:pPr>
      <w:r>
        <w:rPr>
          <w:rStyle w:val="5"/>
          <w:rFonts w:hint="default" w:ascii="仿宋_gb2312" w:hAnsi="仿宋_gb2312" w:eastAsia="仿宋_gb2312" w:cs="仿宋_gb2312"/>
          <w:sz w:val="28"/>
          <w:szCs w:val="28"/>
        </w:rPr>
        <w:t>（二）博士引进计划及要求</w:t>
      </w:r>
    </w:p>
    <w:tbl>
      <w:tblPr>
        <w:tblW w:w="8790" w:type="dxa"/>
        <w:tblCellSpacing w:w="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00"/>
        <w:gridCol w:w="870"/>
        <w:gridCol w:w="3315"/>
        <w:gridCol w:w="540"/>
        <w:gridCol w:w="2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5"/>
                <w:rFonts w:ascii="仿宋" w:hAnsi="仿宋" w:eastAsia="仿宋" w:cs="仿宋"/>
                <w:sz w:val="24"/>
                <w:szCs w:val="24"/>
                <w:bdr w:val="none" w:color="auto" w:sz="0" w:space="0"/>
              </w:rPr>
              <w:t>学院</w:t>
            </w:r>
          </w:p>
        </w:tc>
        <w:tc>
          <w:tcPr>
            <w:tcW w:w="8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5"/>
                <w:rFonts w:hint="eastAsia" w:ascii="仿宋" w:hAnsi="仿宋" w:eastAsia="仿宋" w:cs="仿宋"/>
                <w:sz w:val="24"/>
                <w:szCs w:val="24"/>
                <w:bdr w:val="none" w:color="auto" w:sz="0" w:space="0"/>
              </w:rPr>
              <w:t>需求岗位</w:t>
            </w:r>
          </w:p>
        </w:tc>
        <w:tc>
          <w:tcPr>
            <w:tcW w:w="33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5"/>
                <w:rFonts w:hint="eastAsia" w:ascii="仿宋" w:hAnsi="仿宋" w:eastAsia="仿宋" w:cs="仿宋"/>
                <w:sz w:val="24"/>
                <w:szCs w:val="24"/>
                <w:bdr w:val="none" w:color="auto" w:sz="0" w:space="0"/>
              </w:rPr>
              <w:t>专业</w:t>
            </w:r>
          </w:p>
        </w:tc>
        <w:tc>
          <w:tcPr>
            <w:tcW w:w="5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5"/>
                <w:rFonts w:hint="eastAsia" w:ascii="仿宋" w:hAnsi="仿宋" w:eastAsia="仿宋" w:cs="仿宋"/>
                <w:sz w:val="24"/>
                <w:szCs w:val="24"/>
                <w:bdr w:val="none" w:color="auto" w:sz="0" w:space="0"/>
              </w:rPr>
              <w:t>人数</w:t>
            </w:r>
          </w:p>
        </w:tc>
        <w:tc>
          <w:tcPr>
            <w:tcW w:w="28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5"/>
                <w:rFonts w:hint="eastAsia" w:ascii="仿宋" w:hAnsi="仿宋" w:eastAsia="仿宋" w:cs="仿宋"/>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文传学院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广告</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广电</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电视编导</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中国语言文学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地理学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政法学院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法学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知识产权</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公共管理学、城市管理学、社会学、政治学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科研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教育经济管理、土地资源管理、农林经济管理、政府经济学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农村社会建设研究中心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马克思主义学院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马克思主义基本原理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3</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本硕博专业相近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马克思主义中国化</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3</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思想政治教育</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中国近现代史基本问题研究</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外国语学院</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翻译、文学、语言类</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本硕均为英语专业，博士可与英语相近专业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音舞学院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音乐理论</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钢琴</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舞蹈</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舞蹈理论方向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声乐</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美设学院</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美术与设计类相关专业</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数计学院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数学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985高校毕业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信息类（计算机、信息工程等）</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理工学院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通信工程及相关专业</w:t>
            </w:r>
          </w:p>
        </w:tc>
        <w:tc>
          <w:tcPr>
            <w:tcW w:w="5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3</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业绩突出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电信工程及相关专业</w:t>
            </w:r>
          </w:p>
        </w:tc>
        <w:tc>
          <w:tcPr>
            <w:tcW w:w="5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机械工程相关专业</w:t>
            </w:r>
          </w:p>
        </w:tc>
        <w:tc>
          <w:tcPr>
            <w:tcW w:w="5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3</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业绩突出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自动化相关专业</w:t>
            </w:r>
          </w:p>
        </w:tc>
        <w:tc>
          <w:tcPr>
            <w:tcW w:w="5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土木工程</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结构工程或岩土工程方向等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工程管理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具有工程造价方向的实践经验的管理类博士或土木类高校毕业的管理类博士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材料物理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物理学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985高校毕业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生科学院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城市规划、城乡规划</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主持过省级以上课题者优先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人文地理学及相关地理类</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土地资源管理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地图制图学与地理信息工程或测绘遥感相关专业</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主持过省级以上课题者优先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环境工程、环境科学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主持过省级以上课题者优先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动物医学（临床兽医学）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主持过省级以上课题者优先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动物医学（预防兽医学）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土壤肥料(植物营养)</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植物保护（植物病理）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园艺（果树、蔬菜专业）</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本硕专业一致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建筑学（含园林建筑）</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本科为建筑学或风景园林学专业，硕士阶段要求学硕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风景园林学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本科为园林或风景园林专业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化生学院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分析化学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有相关工作经历或本科阶段为化学专业方向者优先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化学工程与工艺</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有相关工作经历者优先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临床药学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制药工程</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美容</w:t>
            </w:r>
          </w:p>
          <w:p>
            <w:pPr>
              <w:pStyle w:val="3"/>
              <w:keepNext w:val="0"/>
              <w:keepLines w:val="0"/>
              <w:widowControl/>
              <w:suppressLineNumbers w:val="0"/>
              <w:jc w:val="center"/>
            </w:pPr>
            <w:r>
              <w:rPr>
                <w:rFonts w:hint="eastAsia" w:ascii="仿宋" w:hAnsi="仿宋" w:eastAsia="仿宋" w:cs="仿宋"/>
                <w:sz w:val="24"/>
                <w:szCs w:val="24"/>
                <w:bdr w:val="none" w:color="auto" w:sz="0" w:space="0"/>
              </w:rPr>
              <w:t>医学院</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美容整形外科方向</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具有医学背景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医学院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临床医学专业</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具有医学背景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预防医学专业</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3</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基础医学专业</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4</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体育学院</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体育人文社会学、体育教育训练学、运动人体科学、民族传统体育</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5</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能胜任体育专业课程教学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书法艺术学  院</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书法学或古文字学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从事书法研究者优先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经管学院</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财务管理或会计学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旅游管理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国际贸易</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55"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管理学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经济学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宗教文化研究中心</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科研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中国哲学（先秦哲学方向）</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宗教学（道教与民间信仰方向）</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宗教学（禅宗方向）</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0" w:type="dxa"/>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宗教学（基督教方向）</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学科建设处、研究生工作处</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专技岗</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高等教育管理、教育统计、教育学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应用数学研究中心</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科研</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数学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2</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仿宋" w:hAnsi="仿宋" w:eastAsia="仿宋" w:cs="仿宋"/>
                <w:sz w:val="24"/>
                <w:szCs w:val="24"/>
                <w:bdr w:val="none" w:color="auto" w:sz="0" w:space="0"/>
              </w:rPr>
              <w:t>偏微分方程方向优先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发展规划处</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专技岗</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教育管理、教育统计、教育学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学工处（心理咨询中心）</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专技岗</w:t>
            </w:r>
          </w:p>
        </w:tc>
        <w:tc>
          <w:tcPr>
            <w:tcW w:w="33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应用心理学</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spacing w:line="420" w:lineRule="exact"/>
        <w:ind w:firstLine="361" w:firstLineChars="150"/>
        <w:rPr>
          <w:rFonts w:hint="eastAsia" w:ascii="仿宋_GB2312" w:eastAsia="仿宋_GB2312"/>
          <w:b/>
          <w:bCs/>
          <w:color w:val="000000"/>
          <w:sz w:val="24"/>
        </w:rPr>
      </w:pPr>
      <w:r>
        <w:rPr>
          <w:rFonts w:hint="eastAsia" w:ascii="仿宋_GB2312" w:eastAsia="仿宋_GB2312"/>
          <w:b/>
          <w:bCs/>
          <w:color w:val="000000"/>
          <w:sz w:val="24"/>
        </w:rPr>
        <w:t>博士引进计划及要求</w:t>
      </w:r>
    </w:p>
    <w:p>
      <w:pPr>
        <w:spacing w:line="420" w:lineRule="exact"/>
        <w:rPr>
          <w:rFonts w:hint="eastAsia" w:ascii="仿宋_GB2312" w:eastAsia="宋体"/>
          <w:b/>
          <w:color w:val="000000"/>
          <w:sz w:val="28"/>
          <w:szCs w:val="28"/>
          <w:lang w:val="en-US" w:eastAsia="zh-CN"/>
        </w:rPr>
      </w:pPr>
      <w:r>
        <w:rPr>
          <w:rFonts w:hint="eastAsia" w:ascii="仿宋_GB2312" w:eastAsia="仿宋_GB2312"/>
          <w:b/>
          <w:color w:val="000000"/>
          <w:sz w:val="28"/>
          <w:szCs w:val="28"/>
          <w:lang w:val="en-US" w:eastAsia="zh-CN"/>
        </w:rPr>
        <w:t xml:space="preserve">    </w:t>
      </w:r>
      <w:r>
        <w:rPr>
          <w:rFonts w:hint="eastAsia" w:ascii="宋体" w:hAnsi="宋体" w:cs="宋体"/>
          <w:color w:val="000000"/>
          <w:sz w:val="21"/>
          <w:szCs w:val="21"/>
        </w:rPr>
        <w:t>广告、广电、编导、文学、地理学、法学、知识产权、管理学、社会学、政治学、马克思主义基本原理、马克思主义中国化、思政教育、近现代史、翻译、语言类、音乐学、钢琴、舞蹈、声乐、美术与设计相关专业、数学、计算机、信息类、自动化，土木工程，电子信息，通信工程、城市规划、土地资源管理、地图制图、环境工程、动物医学、土壤肥料、植物保护、园艺、建筑学、园林学、分析化学、药学、制药工程、美容整形、临床医学、预防医学、基础医学、体育类、书法学、古文字学、财务管理、会计学、旅游管理、国际贸易、经济学、中国哲学、宗教学、数学、心理学、统计学、教育学</w:t>
      </w:r>
      <w:r>
        <w:rPr>
          <w:rFonts w:hint="eastAsia" w:ascii="宋体" w:hAnsi="宋体" w:cs="宋体"/>
          <w:color w:val="000000"/>
          <w:sz w:val="21"/>
          <w:szCs w:val="21"/>
          <w:lang w:eastAsia="zh-CN"/>
        </w:rPr>
        <w:t>等</w:t>
      </w:r>
      <w:r>
        <w:rPr>
          <w:rFonts w:hint="eastAsia" w:ascii="宋体" w:hAnsi="宋体" w:cs="宋体"/>
          <w:color w:val="000000"/>
          <w:sz w:val="21"/>
          <w:szCs w:val="21"/>
          <w:lang w:val="en-US" w:eastAsia="zh-CN"/>
        </w:rPr>
        <w:t>100名。</w:t>
      </w:r>
    </w:p>
    <w:p>
      <w:pPr>
        <w:pStyle w:val="3"/>
        <w:keepNext w:val="0"/>
        <w:keepLines w:val="0"/>
        <w:widowControl/>
        <w:suppressLineNumbers w:val="0"/>
        <w:spacing w:line="405" w:lineRule="atLeast"/>
      </w:pPr>
      <w:r>
        <w:rPr>
          <w:rStyle w:val="5"/>
          <w:rFonts w:hint="default" w:ascii="仿宋_gb2312" w:hAnsi="仿宋_gb2312" w:eastAsia="仿宋_gb2312" w:cs="仿宋_gb2312"/>
          <w:sz w:val="28"/>
          <w:szCs w:val="28"/>
        </w:rPr>
        <w:t>四、引进待遇</w:t>
      </w:r>
    </w:p>
    <w:tbl>
      <w:tblPr>
        <w:tblW w:w="979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35"/>
        <w:gridCol w:w="3825"/>
        <w:gridCol w:w="750"/>
        <w:gridCol w:w="44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540" w:hRule="atLeast"/>
          <w:tblCellSpacing w:w="0" w:type="dxa"/>
        </w:trPr>
        <w:tc>
          <w:tcPr>
            <w:tcW w:w="456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宜春学院引进待遇</w:t>
            </w:r>
          </w:p>
        </w:tc>
        <w:tc>
          <w:tcPr>
            <w:tcW w:w="523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宜春市优惠政策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购房补贴</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提供购房补贴55万元，分6年支付，或凭购房合同一次性预借购房。</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购房补贴</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人才购房补贴20万元，根据在我市购房的合同、税务发票3年内兑现购房补贴。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科研启动经费</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提供科研启动经费：文科10万元/人，理工科15万元/人，海（境）外博士适当从优；通过申请国家级、省部级科研立项，学校另提供相应科研配套经费。</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生活待遇</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每月2000元/人生活津贴，发放期3年。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学位津贴</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line="315" w:lineRule="atLeast"/>
              <w:ind w:left="0" w:firstLine="480"/>
            </w:pPr>
            <w:r>
              <w:rPr>
                <w:rFonts w:hint="eastAsia" w:ascii="仿宋" w:hAnsi="仿宋" w:eastAsia="仿宋" w:cs="仿宋"/>
                <w:sz w:val="24"/>
                <w:szCs w:val="24"/>
                <w:bdr w:val="none" w:color="auto" w:sz="0" w:space="0"/>
              </w:rPr>
              <w:t>服务期内提供学位津贴1000元/月，到校后获得主持立项国家自然科学基金或国家社会科学基金课题，则学位津贴调整为3000元/月，发放期三年（多次获得者可在最后一次获得后再发三年）。</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税收补贴</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以其个人所得税地方留成部分为标准，第一个3年、第二个3年、第三个3年分别给予100%、50%、20%个人奖励。对海外博士进口自用的1辆小汽车，可凭相关证件办理车辆购置税免税手续。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工资待遇</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前三年享受七级副教授津贴，符合条件者可申报学校内聘教授，入选后可享受相应内聘岗位津贴待遇。</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职称评定</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可不受资历、“台阶”等限制，按留学回国人员或有突出贡献人才专业技术资格审定办法，申报高级专业技术资格。特别优秀的博士后可申请认定副高级专业技术资格。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服务期限</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博士服务期原则上为8年，亦可选择弹性服务期3-8年，购房补贴及科研启动经费按年度折算。</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成果奖励</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科研项目获得国家级、省级奖励的，由市政府按相关奖励标准1∶1比例配套支持；属集体完成的科研项目，项目主要完成人获奖金额不低于奖金总额的50%。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配偶安置</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根据配偶条件安置工作：1.配偶具有硕士研究生及以上学历学位者可办理上编手续；夫妻分居、配偶为国家公务员或全额拨款事业单位编制内工作人员可随博士调入；其他博士配偶学校统筹在校内编制外合同聘用。以上均要求博士配偶具有专科以上学历，且原则上年龄不超过40岁。</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子女入学</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子女随迁，属于义务教育阶段学生，可优先择校，不受划片招生范围的限制，免试入学，享受本行政区域学生就读的同等待遇；就读普通高中的，可享受均衡生资格。非我市户籍子女，在我市就读义务教育阶段学校和普通高中期间，享受我市户籍学生同等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试讲车费</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720"/>
            </w:pPr>
            <w:r>
              <w:rPr>
                <w:rFonts w:hint="eastAsia" w:ascii="仿宋" w:hAnsi="仿宋" w:eastAsia="仿宋" w:cs="仿宋"/>
                <w:sz w:val="24"/>
                <w:szCs w:val="24"/>
                <w:bdr w:val="none" w:color="auto" w:sz="0" w:space="0"/>
              </w:rPr>
              <w:t>接受邀请来校试讲的博士可报销往返车船费用。</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旅游优惠</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引进的高层次人才到市内景区旅游、观光休闲的，可凭《宜春市高层次人才服务卡》，享受旅游部门指定景区免门票等优惠。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仿宋" w:hAnsi="仿宋" w:eastAsia="仿宋" w:cs="仿宋"/>
                <w:sz w:val="24"/>
                <w:szCs w:val="24"/>
              </w:rPr>
              <w:t>其他</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引进对象第1、2类人才，待遇一人一议；引进对象第3类人才中特别优秀者或学校急需紧缺博士，待遇另行面议。</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spacing w:before="0" w:beforeAutospacing="0" w:after="0" w:afterAutospacing="0" w:line="315" w:lineRule="atLeast"/>
              <w:ind w:left="0" w:right="0"/>
              <w:jc w:val="center"/>
            </w:pPr>
            <w:r>
              <w:rPr>
                <w:rStyle w:val="5"/>
                <w:rFonts w:hint="eastAsia" w:ascii="仿宋" w:hAnsi="仿宋" w:eastAsia="仿宋" w:cs="仿宋"/>
                <w:sz w:val="24"/>
                <w:szCs w:val="24"/>
              </w:rPr>
              <w:t>激励机制</w:t>
            </w:r>
          </w:p>
        </w:tc>
        <w:tc>
          <w:tcPr>
            <w:tcW w:w="4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15" w:lineRule="atLeast"/>
              <w:ind w:left="0" w:firstLine="480"/>
            </w:pPr>
            <w:r>
              <w:rPr>
                <w:rFonts w:hint="eastAsia" w:ascii="仿宋" w:hAnsi="仿宋" w:eastAsia="仿宋" w:cs="仿宋"/>
                <w:sz w:val="24"/>
                <w:szCs w:val="24"/>
                <w:bdr w:val="none" w:color="auto" w:sz="0" w:space="0"/>
              </w:rPr>
              <w:t>定期奖励一批为我市经济社会发展做出突出贡献的高层次人才，推荐优秀人才作为党代表、人大代表、政协委员人选和劳动模范、“三八红旗手”等。</w:t>
            </w:r>
          </w:p>
        </w:tc>
      </w:tr>
    </w:tbl>
    <w:p>
      <w:pPr>
        <w:pStyle w:val="3"/>
        <w:keepNext w:val="0"/>
        <w:keepLines w:val="0"/>
        <w:widowControl/>
        <w:suppressLineNumbers w:val="0"/>
        <w:spacing w:line="405" w:lineRule="atLeast"/>
      </w:pPr>
      <w:r>
        <w:rPr>
          <w:rStyle w:val="5"/>
          <w:rFonts w:hint="default" w:ascii="仿宋_gb2312" w:hAnsi="仿宋_gb2312" w:eastAsia="仿宋_gb2312" w:cs="仿宋_gb2312"/>
          <w:sz w:val="28"/>
          <w:szCs w:val="28"/>
        </w:rPr>
        <w:t>五、投递简历方式</w:t>
      </w:r>
    </w:p>
    <w:p>
      <w:pPr>
        <w:pStyle w:val="3"/>
        <w:keepNext w:val="0"/>
        <w:keepLines w:val="0"/>
        <w:widowControl/>
        <w:suppressLineNumbers w:val="0"/>
        <w:spacing w:line="405" w:lineRule="atLeast"/>
        <w:ind w:left="0" w:firstLine="420"/>
      </w:pPr>
      <w:bookmarkStart w:id="3" w:name="_GoBack"/>
      <w:bookmarkEnd w:id="3"/>
      <w:r>
        <w:rPr>
          <w:rFonts w:hint="default" w:ascii="仿宋_gb2312" w:hAnsi="仿宋_gb2312" w:eastAsia="仿宋_gb2312" w:cs="仿宋_gb2312"/>
          <w:sz w:val="28"/>
          <w:szCs w:val="28"/>
        </w:rPr>
        <w:t>投递邮箱：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"mailto:2179215869@qq.com" </w:instrText>
      </w:r>
      <w:r>
        <w:rPr>
          <w:rFonts w:hint="eastAsia" w:ascii="仿宋_gb2312" w:hAnsi="仿宋_gb2312" w:eastAsia="仿宋_gb2312" w:cs="仿宋_gb2312"/>
          <w:sz w:val="28"/>
          <w:szCs w:val="28"/>
          <w:lang w:val="en-US" w:eastAsia="zh-CN"/>
        </w:rPr>
        <w:fldChar w:fldCharType="separate"/>
      </w:r>
      <w:r>
        <w:rPr>
          <w:rStyle w:val="6"/>
          <w:rFonts w:hint="eastAsia" w:ascii="仿宋_gb2312" w:hAnsi="仿宋_gb2312" w:eastAsia="仿宋_gb2312" w:cs="仿宋_gb2312"/>
          <w:sz w:val="28"/>
          <w:szCs w:val="28"/>
          <w:lang w:val="en-US" w:eastAsia="zh-CN"/>
        </w:rPr>
        <w:t>2179215869@qq.com</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rPr>
        <w:t>，邮件名为：</w:t>
      </w:r>
      <w:r>
        <w:rPr>
          <w:rFonts w:hint="eastAsia" w:ascii="仿宋_gb2312" w:hAnsi="仿宋_gb2312" w:eastAsia="仿宋_gb2312" w:cs="仿宋_gb2312"/>
          <w:sz w:val="28"/>
          <w:szCs w:val="28"/>
          <w:lang w:eastAsia="zh-CN"/>
        </w:rPr>
        <w:t>宜春学院</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姓名+</w:t>
      </w:r>
      <w:r>
        <w:rPr>
          <w:rFonts w:hint="eastAsia" w:ascii="仿宋_gb2312" w:hAnsi="仿宋_gb2312" w:eastAsia="仿宋_gb2312" w:cs="仿宋_gb2312"/>
          <w:sz w:val="28"/>
          <w:szCs w:val="28"/>
          <w:lang w:eastAsia="zh-CN"/>
        </w:rPr>
        <w:t>博士</w:t>
      </w:r>
      <w:r>
        <w:rPr>
          <w:rFonts w:hint="default" w:ascii="仿宋_gb2312" w:hAnsi="仿宋_gb2312" w:eastAsia="仿宋_gb2312" w:cs="仿宋_gb2312"/>
          <w:sz w:val="28"/>
          <w:szCs w:val="28"/>
        </w:rPr>
        <w:t>+应聘岗位+毕业学校及专业。</w:t>
      </w:r>
    </w:p>
    <w:p>
      <w:pPr>
        <w:pStyle w:val="3"/>
        <w:keepNext w:val="0"/>
        <w:keepLines w:val="0"/>
        <w:widowControl/>
        <w:suppressLineNumbers w:val="0"/>
        <w:spacing w:line="405" w:lineRule="atLeast"/>
        <w:ind w:left="0" w:firstLine="420"/>
        <w:rPr>
          <w:rFonts w:hint="eastAsia" w:eastAsia="仿宋_gb2312"/>
          <w:lang w:val="en-US" w:eastAsia="zh-CN"/>
        </w:rPr>
      </w:pPr>
      <w:r>
        <w:rPr>
          <w:rFonts w:hint="default"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13297952708 戴老师</w:t>
      </w:r>
    </w:p>
    <w:p>
      <w:pPr>
        <w:pStyle w:val="3"/>
        <w:keepNext w:val="0"/>
        <w:keepLines w:val="0"/>
        <w:widowControl/>
        <w:suppressLineNumbers w:val="0"/>
        <w:spacing w:line="405" w:lineRule="atLeast"/>
        <w:ind w:left="0" w:firstLine="420"/>
      </w:pPr>
      <w:r>
        <w:rPr>
          <w:rFonts w:hint="default" w:ascii="仿宋_gb2312" w:hAnsi="仿宋_gb2312" w:eastAsia="仿宋_gb2312" w:cs="仿宋_gb2312"/>
          <w:sz w:val="28"/>
          <w:szCs w:val="28"/>
        </w:rPr>
        <w:t>地址：江西省宜春市学府路576号         邮编：336000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3CE4"/>
    <w:multiLevelType w:val="singleLevel"/>
    <w:tmpl w:val="5E863C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D36D9"/>
    <w:rsid w:val="1DE1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8">
    <w:name w:val="xubox_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2018-12-25T10:09:20Z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