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44" w:rsidRDefault="00282844" w:rsidP="00282844">
      <w:pPr>
        <w:pStyle w:val="a3"/>
        <w:shd w:val="clear" w:color="auto" w:fill="FFFFFF"/>
        <w:spacing w:before="0" w:beforeAutospacing="0" w:after="150" w:afterAutospacing="0" w:line="293" w:lineRule="atLeast"/>
        <w:ind w:left="420"/>
        <w:jc w:val="center"/>
        <w:rPr>
          <w:rFonts w:ascii="Arial" w:hAnsi="Arial" w:cs="Arial"/>
          <w:color w:val="333333"/>
          <w:sz w:val="20"/>
          <w:szCs w:val="20"/>
        </w:rPr>
      </w:pPr>
      <w:r>
        <w:rPr>
          <w:rStyle w:val="a4"/>
          <w:rFonts w:ascii="黑体" w:eastAsia="黑体" w:hAnsi="黑体" w:cs="Arial" w:hint="eastAsia"/>
          <w:color w:val="333333"/>
          <w:sz w:val="29"/>
          <w:szCs w:val="29"/>
        </w:rPr>
        <w:t>中国国际经济咨询有限公司博士后工作站</w:t>
      </w:r>
    </w:p>
    <w:p w:rsidR="00282844" w:rsidRDefault="00282844" w:rsidP="00282844">
      <w:pPr>
        <w:pStyle w:val="a3"/>
        <w:shd w:val="clear" w:color="auto" w:fill="FFFFFF"/>
        <w:spacing w:before="0" w:beforeAutospacing="0" w:after="150" w:afterAutospacing="0" w:line="293" w:lineRule="atLeast"/>
        <w:ind w:left="420"/>
        <w:jc w:val="center"/>
        <w:rPr>
          <w:rFonts w:ascii="Arial" w:hAnsi="Arial" w:cs="Arial"/>
          <w:color w:val="333333"/>
          <w:sz w:val="20"/>
          <w:szCs w:val="20"/>
        </w:rPr>
      </w:pPr>
      <w:r>
        <w:rPr>
          <w:rStyle w:val="a4"/>
          <w:rFonts w:ascii="黑体" w:eastAsia="黑体" w:hAnsi="黑体" w:cs="Arial" w:hint="eastAsia"/>
          <w:color w:val="333333"/>
          <w:sz w:val="29"/>
          <w:szCs w:val="29"/>
        </w:rPr>
        <w:t>2019年校园招聘启事</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为吸引高层次优秀人才，中国国际经济咨询有限公司（以下简称“中信咨询”）会同中</w:t>
      </w:r>
      <w:proofErr w:type="gramStart"/>
      <w:r>
        <w:rPr>
          <w:rFonts w:cs="Arial" w:hint="eastAsia"/>
          <w:color w:val="333333"/>
        </w:rPr>
        <w:t>信</w:t>
      </w:r>
      <w:proofErr w:type="gramEnd"/>
      <w:r>
        <w:rPr>
          <w:rFonts w:cs="Arial" w:hint="eastAsia"/>
          <w:color w:val="333333"/>
        </w:rPr>
        <w:t>信托有限责任公司（以下简称“中信信托”）和北京大学光华管理学院联合招收第八批博士后研究人员。中</w:t>
      </w:r>
      <w:proofErr w:type="gramStart"/>
      <w:r>
        <w:rPr>
          <w:rFonts w:cs="Arial" w:hint="eastAsia"/>
          <w:color w:val="333333"/>
        </w:rPr>
        <w:t>信咨询</w:t>
      </w:r>
      <w:proofErr w:type="gramEnd"/>
      <w:r>
        <w:rPr>
          <w:rFonts w:cs="Arial" w:hint="eastAsia"/>
          <w:color w:val="333333"/>
        </w:rPr>
        <w:t>是中国中信集团公司的全资子公司，是由原国家副主席、中信创始人荣毅仁先生倡导，会同经叔平先生等老一辈工商企业家创立的中国改革开放后第一家专业咨询公司。中</w:t>
      </w:r>
      <w:proofErr w:type="gramStart"/>
      <w:r>
        <w:rPr>
          <w:rFonts w:cs="Arial" w:hint="eastAsia"/>
          <w:color w:val="333333"/>
        </w:rPr>
        <w:t>信</w:t>
      </w:r>
      <w:proofErr w:type="gramEnd"/>
      <w:r>
        <w:rPr>
          <w:rFonts w:cs="Arial" w:hint="eastAsia"/>
          <w:color w:val="333333"/>
        </w:rPr>
        <w:t>信托有限责任公司是中信集团旗下的优质金融资产、全资国有金融企业，是国内同行业最大的信托公司，中国信托协会理事长单位。</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博士后工作站自建站以来发展迅速，以培养优秀复合型金融研究人才为己任，致力于研究金融信托行业具有重大理论价值和现实意义的战略性、系统性、前瞻性课题。在站博士后研究人员均可参与中信集团相关部门、子公司的业务实践，在了解金融领域实务前沿的同时开展科研工作。</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本次招聘计划招收</w:t>
      </w:r>
      <w:r>
        <w:rPr>
          <w:rFonts w:ascii="Arial" w:hAnsi="Arial" w:cs="Arial"/>
          <w:color w:val="333333"/>
        </w:rPr>
        <w:t>4</w:t>
      </w:r>
      <w:r>
        <w:rPr>
          <w:rFonts w:cs="Arial" w:hint="eastAsia"/>
          <w:color w:val="333333"/>
        </w:rPr>
        <w:t>名博士后研究人员，有关事项公告如下：</w:t>
      </w:r>
    </w:p>
    <w:p w:rsidR="00282844" w:rsidRDefault="00282844" w:rsidP="00282844">
      <w:pPr>
        <w:pStyle w:val="a3"/>
        <w:shd w:val="clear" w:color="auto" w:fill="FFFFFF"/>
        <w:spacing w:before="0" w:beforeAutospacing="0" w:after="150" w:afterAutospacing="0" w:line="293" w:lineRule="atLeast"/>
        <w:ind w:left="420"/>
        <w:rPr>
          <w:rFonts w:ascii="Arial" w:hAnsi="Arial" w:cs="Arial"/>
          <w:color w:val="333333"/>
          <w:sz w:val="20"/>
          <w:szCs w:val="20"/>
        </w:rPr>
      </w:pPr>
      <w:r>
        <w:rPr>
          <w:rFonts w:ascii="黑体" w:eastAsia="黑体" w:hAnsi="黑体" w:cs="Arial" w:hint="eastAsia"/>
          <w:color w:val="333333"/>
        </w:rPr>
        <w:t>一、招收条件</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1.        </w:t>
      </w:r>
      <w:r>
        <w:rPr>
          <w:rFonts w:cs="Arial" w:hint="eastAsia"/>
          <w:color w:val="333333"/>
        </w:rPr>
        <w:t>政治素质和道德修养良好，敬业遵纪守法，品学兼优、身体健康；</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2.        </w:t>
      </w:r>
      <w:r>
        <w:rPr>
          <w:rFonts w:cs="Arial" w:hint="eastAsia"/>
          <w:color w:val="333333"/>
        </w:rPr>
        <w:t>年龄在</w:t>
      </w:r>
      <w:r>
        <w:rPr>
          <w:rFonts w:ascii="Arial" w:hAnsi="Arial" w:cs="Arial"/>
          <w:color w:val="333333"/>
        </w:rPr>
        <w:t>35</w:t>
      </w:r>
      <w:r>
        <w:rPr>
          <w:rFonts w:cs="Arial" w:hint="eastAsia"/>
          <w:color w:val="333333"/>
        </w:rPr>
        <w:t>周岁以下，在</w:t>
      </w:r>
      <w:r>
        <w:rPr>
          <w:rFonts w:ascii="Arial" w:hAnsi="Arial" w:cs="Arial"/>
          <w:color w:val="333333"/>
        </w:rPr>
        <w:t>2019</w:t>
      </w:r>
      <w:r>
        <w:rPr>
          <w:rFonts w:cs="Arial" w:hint="eastAsia"/>
          <w:color w:val="333333"/>
        </w:rPr>
        <w:t>年</w:t>
      </w:r>
      <w:r>
        <w:rPr>
          <w:rFonts w:ascii="Arial" w:hAnsi="Arial" w:cs="Arial"/>
          <w:color w:val="333333"/>
        </w:rPr>
        <w:t>7</w:t>
      </w:r>
      <w:r>
        <w:rPr>
          <w:rFonts w:cs="Arial" w:hint="eastAsia"/>
          <w:color w:val="333333"/>
        </w:rPr>
        <w:t>月前通过博士毕业答辩并获得博士学位；</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3.        </w:t>
      </w:r>
      <w:r>
        <w:rPr>
          <w:rFonts w:cs="Arial" w:hint="eastAsia"/>
          <w:color w:val="333333"/>
        </w:rPr>
        <w:t>具有财政、金融、经济、管理、法学等相关学科背景的优秀人才；博士专业为金融学（货币理论与政策、金融发展与金融结构、商业银行管理、公司金融、证券投资，等等）、金融工程（金融资产定价、金融风险管理，等等）、财政学（政府投融资、财政体制，等等）、产业经济学、财务管理、法学（经济法、财税法、公司法）等专业优先考虑；</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4.        </w:t>
      </w:r>
      <w:r>
        <w:rPr>
          <w:rFonts w:cs="Arial" w:hint="eastAsia"/>
          <w:color w:val="333333"/>
        </w:rPr>
        <w:t>具有较强的科研和实践能力、创新能力、写作和表达能力、沟通和总结能力以及踏实的工作作风，博士在读期间在导师带领下参与过国家社科基金、发表过《经济研究》、《管理世界》、《金融研究》等</w:t>
      </w:r>
      <w:r>
        <w:rPr>
          <w:rFonts w:ascii="Arial" w:hAnsi="Arial" w:cs="Arial"/>
          <w:color w:val="333333"/>
        </w:rPr>
        <w:t>CSSCI</w:t>
      </w:r>
      <w:r>
        <w:rPr>
          <w:rFonts w:cs="Arial" w:hint="eastAsia"/>
          <w:color w:val="333333"/>
        </w:rPr>
        <w:t>核心期刊、获得过教育部博士研究生国家奖学金者，将予以优先考虑。</w:t>
      </w:r>
    </w:p>
    <w:p w:rsidR="00282844" w:rsidRDefault="00282844" w:rsidP="00282844">
      <w:pPr>
        <w:pStyle w:val="a3"/>
        <w:shd w:val="clear" w:color="auto" w:fill="FFFFFF"/>
        <w:spacing w:before="0" w:beforeAutospacing="0" w:after="150" w:afterAutospacing="0" w:line="293" w:lineRule="atLeast"/>
        <w:ind w:left="420"/>
        <w:rPr>
          <w:rFonts w:ascii="Arial" w:hAnsi="Arial" w:cs="Arial"/>
          <w:color w:val="333333"/>
          <w:sz w:val="20"/>
          <w:szCs w:val="20"/>
        </w:rPr>
      </w:pPr>
      <w:r>
        <w:rPr>
          <w:rFonts w:ascii="黑体" w:eastAsia="黑体" w:hAnsi="黑体" w:cs="Arial" w:hint="eastAsia"/>
          <w:color w:val="333333"/>
        </w:rPr>
        <w:t>二、研究方向（包括但不限于以下方向）</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1.        </w:t>
      </w:r>
      <w:proofErr w:type="gramStart"/>
      <w:r>
        <w:rPr>
          <w:rFonts w:cs="Arial" w:hint="eastAsia"/>
          <w:color w:val="333333"/>
        </w:rPr>
        <w:t>大资管</w:t>
      </w:r>
      <w:proofErr w:type="gramEnd"/>
      <w:r>
        <w:rPr>
          <w:rFonts w:cs="Arial" w:hint="eastAsia"/>
          <w:color w:val="333333"/>
        </w:rPr>
        <w:t>行业及信托</w:t>
      </w:r>
      <w:proofErr w:type="gramStart"/>
      <w:r>
        <w:rPr>
          <w:rFonts w:cs="Arial" w:hint="eastAsia"/>
          <w:color w:val="333333"/>
        </w:rPr>
        <w:t>行热点</w:t>
      </w:r>
      <w:proofErr w:type="gramEnd"/>
      <w:r>
        <w:rPr>
          <w:rFonts w:cs="Arial" w:hint="eastAsia"/>
          <w:color w:val="333333"/>
        </w:rPr>
        <w:t>问题：如中国信托业发展的发展经验与逻辑、信托本源探讨、信托治理、信托项下的资产管理、国内外信托业的对比与启示等。</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2.        </w:t>
      </w:r>
      <w:r>
        <w:rPr>
          <w:rFonts w:cs="Arial" w:hint="eastAsia"/>
          <w:color w:val="333333"/>
        </w:rPr>
        <w:t>金融咨询及中国</w:t>
      </w:r>
      <w:r>
        <w:rPr>
          <w:rFonts w:ascii="Arial" w:hAnsi="Arial" w:cs="Arial"/>
          <w:color w:val="333333"/>
        </w:rPr>
        <w:t>PPP</w:t>
      </w:r>
      <w:r>
        <w:rPr>
          <w:rFonts w:cs="Arial" w:hint="eastAsia"/>
          <w:color w:val="333333"/>
        </w:rPr>
        <w:t>模式的理论与实践：如</w:t>
      </w:r>
      <w:r>
        <w:rPr>
          <w:rFonts w:ascii="Arial" w:hAnsi="Arial" w:cs="Arial"/>
          <w:color w:val="333333"/>
        </w:rPr>
        <w:t>PPP</w:t>
      </w:r>
      <w:r>
        <w:rPr>
          <w:rFonts w:cs="Arial" w:hint="eastAsia"/>
          <w:color w:val="333333"/>
        </w:rPr>
        <w:t>投融资模式、资产证券化在</w:t>
      </w:r>
      <w:r>
        <w:rPr>
          <w:rFonts w:ascii="Arial" w:hAnsi="Arial" w:cs="Arial"/>
          <w:color w:val="333333"/>
        </w:rPr>
        <w:t>PPP</w:t>
      </w:r>
      <w:r>
        <w:rPr>
          <w:rFonts w:cs="Arial" w:hint="eastAsia"/>
          <w:color w:val="333333"/>
        </w:rPr>
        <w:t>融资中的运用等。</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lastRenderedPageBreak/>
        <w:t>3.        </w:t>
      </w:r>
      <w:r>
        <w:rPr>
          <w:rFonts w:cs="Arial" w:hint="eastAsia"/>
          <w:color w:val="333333"/>
        </w:rPr>
        <w:t>国有企业改革相关问题：如大型国有企业发展战略、马克思主义政治经济学与国有企业基础理论研究等。</w:t>
      </w:r>
    </w:p>
    <w:p w:rsidR="00282844" w:rsidRDefault="00282844" w:rsidP="00282844">
      <w:pPr>
        <w:pStyle w:val="a3"/>
        <w:shd w:val="clear" w:color="auto" w:fill="FFFFFF"/>
        <w:spacing w:before="0" w:beforeAutospacing="0" w:after="150" w:afterAutospacing="0" w:line="293" w:lineRule="atLeast"/>
        <w:ind w:left="420"/>
        <w:rPr>
          <w:rFonts w:ascii="Arial" w:hAnsi="Arial" w:cs="Arial"/>
          <w:color w:val="333333"/>
          <w:sz w:val="20"/>
          <w:szCs w:val="20"/>
        </w:rPr>
      </w:pPr>
      <w:r>
        <w:rPr>
          <w:rFonts w:ascii="黑体" w:eastAsia="黑体" w:hAnsi="黑体" w:cs="Arial" w:hint="eastAsia"/>
          <w:color w:val="333333"/>
        </w:rPr>
        <w:t>三、应聘材料</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有意申请来本站做博士后研究工作的应聘人员，请于</w:t>
      </w:r>
      <w:r>
        <w:rPr>
          <w:rFonts w:ascii="Arial" w:hAnsi="Arial" w:cs="Arial"/>
          <w:color w:val="333333"/>
        </w:rPr>
        <w:t>2019</w:t>
      </w:r>
      <w:r>
        <w:rPr>
          <w:rFonts w:cs="Arial" w:hint="eastAsia"/>
          <w:color w:val="333333"/>
        </w:rPr>
        <w:t>年</w:t>
      </w:r>
      <w:r>
        <w:rPr>
          <w:rFonts w:ascii="Arial" w:hAnsi="Arial" w:cs="Arial"/>
          <w:color w:val="333333"/>
        </w:rPr>
        <w:t>4</w:t>
      </w:r>
      <w:r>
        <w:rPr>
          <w:rFonts w:cs="Arial" w:hint="eastAsia"/>
          <w:color w:val="333333"/>
        </w:rPr>
        <w:t>月</w:t>
      </w:r>
      <w:r>
        <w:rPr>
          <w:rFonts w:ascii="Arial" w:hAnsi="Arial" w:cs="Arial"/>
          <w:color w:val="333333"/>
        </w:rPr>
        <w:t>30</w:t>
      </w:r>
      <w:r>
        <w:rPr>
          <w:rFonts w:cs="Arial" w:hint="eastAsia"/>
          <w:color w:val="333333"/>
        </w:rPr>
        <w:t>日前递交以下材料：</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1.        </w:t>
      </w:r>
      <w:r>
        <w:rPr>
          <w:rFonts w:cs="Arial" w:hint="eastAsia"/>
          <w:color w:val="333333"/>
        </w:rPr>
        <w:t>通过电子邮件提交个人简历，简历标题统一命名为“姓名</w:t>
      </w:r>
      <w:r>
        <w:rPr>
          <w:rFonts w:ascii="Arial" w:hAnsi="Arial" w:cs="Arial"/>
          <w:color w:val="333333"/>
        </w:rPr>
        <w:t>+</w:t>
      </w:r>
      <w:r>
        <w:rPr>
          <w:rFonts w:cs="Arial" w:hint="eastAsia"/>
          <w:color w:val="333333"/>
        </w:rPr>
        <w:t>学校</w:t>
      </w:r>
      <w:r>
        <w:rPr>
          <w:rFonts w:ascii="Arial" w:hAnsi="Arial" w:cs="Arial"/>
          <w:color w:val="333333"/>
        </w:rPr>
        <w:t>+</w:t>
      </w:r>
      <w:r>
        <w:rPr>
          <w:rFonts w:cs="Arial" w:hint="eastAsia"/>
          <w:color w:val="333333"/>
        </w:rPr>
        <w:t>博士后应聘”，同时发送至</w:t>
      </w:r>
      <w:r>
        <w:rPr>
          <w:rFonts w:ascii="Arial" w:hAnsi="Arial" w:cs="Arial"/>
          <w:color w:val="333333"/>
        </w:rPr>
        <w:t>luoxiao@citic.com</w:t>
      </w:r>
      <w:r>
        <w:rPr>
          <w:rFonts w:cs="Arial" w:hint="eastAsia"/>
          <w:color w:val="333333"/>
        </w:rPr>
        <w:t>。简历中必须提供读博士期间公开发表论文情况，</w:t>
      </w:r>
      <w:proofErr w:type="gramStart"/>
      <w:r>
        <w:rPr>
          <w:rFonts w:cs="Arial" w:hint="eastAsia"/>
          <w:color w:val="333333"/>
        </w:rPr>
        <w:t>若参</w:t>
      </w:r>
      <w:proofErr w:type="gramEnd"/>
      <w:r>
        <w:rPr>
          <w:rFonts w:cs="Arial" w:hint="eastAsia"/>
          <w:color w:val="333333"/>
        </w:rPr>
        <w:t>与国家社科基金、教育部课题、各省社科基金等信息，也一并附上。若没有提供核心期刊论文发表信息的简历，将被我工作站视为无效简历。</w:t>
      </w:r>
      <w:bookmarkStart w:id="0" w:name="_GoBack"/>
      <w:bookmarkEnd w:id="0"/>
      <w:r>
        <w:rPr>
          <w:rFonts w:cs="Arial" w:hint="eastAsia"/>
          <w:color w:val="333333"/>
        </w:rPr>
        <w:t>初审通过者将统一组织参加面试。</w:t>
      </w:r>
    </w:p>
    <w:p w:rsidR="00282844" w:rsidRDefault="00282844" w:rsidP="00282844">
      <w:pPr>
        <w:pStyle w:val="a5"/>
        <w:shd w:val="clear" w:color="auto" w:fill="FFFFFF"/>
        <w:spacing w:before="0" w:beforeAutospacing="0" w:after="150" w:afterAutospacing="0" w:line="293" w:lineRule="atLeast"/>
        <w:ind w:left="1320"/>
        <w:rPr>
          <w:rFonts w:ascii="Arial" w:hAnsi="Arial" w:cs="Arial"/>
          <w:color w:val="333333"/>
          <w:sz w:val="20"/>
          <w:szCs w:val="20"/>
        </w:rPr>
      </w:pPr>
      <w:r>
        <w:rPr>
          <w:rFonts w:ascii="Arial" w:hAnsi="Arial" w:cs="Arial"/>
          <w:color w:val="333333"/>
        </w:rPr>
        <w:t>2.        </w:t>
      </w:r>
      <w:r>
        <w:rPr>
          <w:rFonts w:cs="Arial" w:hint="eastAsia"/>
          <w:color w:val="333333"/>
        </w:rPr>
        <w:t>面试需准备材料：</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w:t>
      </w:r>
      <w:r>
        <w:rPr>
          <w:rFonts w:ascii="Arial" w:hAnsi="Arial" w:cs="Arial"/>
          <w:color w:val="333333"/>
        </w:rPr>
        <w:t>1</w:t>
      </w:r>
      <w:r>
        <w:rPr>
          <w:rFonts w:cs="Arial" w:hint="eastAsia"/>
          <w:color w:val="333333"/>
        </w:rPr>
        <w:t>）本科、硕士和博士毕业证书和学位证书或博士批准毕业证明；</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w:t>
      </w:r>
      <w:r>
        <w:rPr>
          <w:rFonts w:ascii="Arial" w:hAnsi="Arial" w:cs="Arial"/>
          <w:color w:val="333333"/>
        </w:rPr>
        <w:t>2</w:t>
      </w:r>
      <w:r>
        <w:rPr>
          <w:rFonts w:cs="Arial" w:hint="eastAsia"/>
          <w:color w:val="333333"/>
        </w:rPr>
        <w:t>）博士论文初稿（或博士论文开题报告）和博士期间公开发表的高排名</w:t>
      </w:r>
    </w:p>
    <w:p w:rsidR="00282844" w:rsidRDefault="00282844" w:rsidP="00282844">
      <w:pPr>
        <w:pStyle w:val="a3"/>
        <w:shd w:val="clear" w:color="auto" w:fill="FFFFFF"/>
        <w:spacing w:before="0" w:beforeAutospacing="0" w:after="150" w:afterAutospacing="0" w:line="293" w:lineRule="atLeast"/>
        <w:ind w:left="420" w:firstLine="1080"/>
        <w:rPr>
          <w:rFonts w:ascii="Arial" w:hAnsi="Arial" w:cs="Arial"/>
          <w:color w:val="333333"/>
          <w:sz w:val="20"/>
          <w:szCs w:val="20"/>
        </w:rPr>
      </w:pPr>
      <w:r>
        <w:rPr>
          <w:rFonts w:cs="Arial" w:hint="eastAsia"/>
          <w:color w:val="333333"/>
        </w:rPr>
        <w:t>核心期刊</w:t>
      </w:r>
      <w:r>
        <w:rPr>
          <w:rFonts w:ascii="Arial" w:hAnsi="Arial" w:cs="Arial"/>
          <w:color w:val="333333"/>
        </w:rPr>
        <w:t>2</w:t>
      </w:r>
      <w:r>
        <w:rPr>
          <w:rFonts w:cs="Arial" w:hint="eastAsia"/>
          <w:color w:val="333333"/>
        </w:rPr>
        <w:t>篇；</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w:t>
      </w:r>
      <w:r>
        <w:rPr>
          <w:rFonts w:ascii="Arial" w:hAnsi="Arial" w:cs="Arial"/>
          <w:color w:val="333333"/>
        </w:rPr>
        <w:t>3</w:t>
      </w:r>
      <w:r>
        <w:rPr>
          <w:rFonts w:cs="Arial" w:hint="eastAsia"/>
          <w:color w:val="333333"/>
        </w:rPr>
        <w:t>）两位相关学科领域博士生导师的推荐信；</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w:t>
      </w:r>
      <w:r>
        <w:rPr>
          <w:rFonts w:ascii="Arial" w:hAnsi="Arial" w:cs="Arial"/>
          <w:color w:val="333333"/>
        </w:rPr>
        <w:t>4</w:t>
      </w:r>
      <w:r>
        <w:rPr>
          <w:rFonts w:cs="Arial" w:hint="eastAsia"/>
          <w:color w:val="333333"/>
        </w:rPr>
        <w:t>）拟报课题及研究计划概要。</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本站采取“公开招聘，择优录取”的原则，公开、公平地招聘博士后研究人员。</w:t>
      </w:r>
    </w:p>
    <w:p w:rsidR="00282844" w:rsidRDefault="00282844" w:rsidP="00282844">
      <w:pPr>
        <w:pStyle w:val="a3"/>
        <w:shd w:val="clear" w:color="auto" w:fill="FFFFFF"/>
        <w:spacing w:before="0" w:beforeAutospacing="0" w:after="150" w:afterAutospacing="0" w:line="293" w:lineRule="atLeast"/>
        <w:ind w:left="420"/>
        <w:rPr>
          <w:rFonts w:ascii="Arial" w:hAnsi="Arial" w:cs="Arial"/>
          <w:color w:val="333333"/>
          <w:sz w:val="20"/>
          <w:szCs w:val="20"/>
        </w:rPr>
      </w:pPr>
      <w:r>
        <w:rPr>
          <w:rFonts w:ascii="黑体" w:eastAsia="黑体" w:hAnsi="黑体" w:cs="Arial" w:hint="eastAsia"/>
          <w:color w:val="333333"/>
        </w:rPr>
        <w:t>四、福利待遇</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本站将根据国家和中信集团的有关规定，为博士后研究人员提供优厚的科研条件和工资待遇，对表现优秀及有特殊贡献的博士后给予年终奖励，具体数额依据贡献考核而定，协助解决临时户口等问题。</w:t>
      </w:r>
    </w:p>
    <w:p w:rsidR="00282844" w:rsidRDefault="00282844" w:rsidP="00282844">
      <w:pPr>
        <w:pStyle w:val="a3"/>
        <w:shd w:val="clear" w:color="auto" w:fill="FFFFFF"/>
        <w:spacing w:before="0" w:beforeAutospacing="0" w:after="150" w:afterAutospacing="0" w:line="293" w:lineRule="atLeast"/>
        <w:ind w:left="420"/>
        <w:rPr>
          <w:rFonts w:ascii="Arial" w:hAnsi="Arial" w:cs="Arial"/>
          <w:color w:val="333333"/>
          <w:sz w:val="20"/>
          <w:szCs w:val="20"/>
        </w:rPr>
      </w:pPr>
      <w:r>
        <w:rPr>
          <w:rFonts w:ascii="黑体" w:eastAsia="黑体" w:hAnsi="黑体" w:cs="Arial" w:hint="eastAsia"/>
          <w:color w:val="333333"/>
        </w:rPr>
        <w:t>五、联系方式</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邮寄地址：北京市朝阳区新源南路</w:t>
      </w:r>
      <w:r>
        <w:rPr>
          <w:rFonts w:ascii="Arial" w:hAnsi="Arial" w:cs="Arial"/>
          <w:color w:val="333333"/>
        </w:rPr>
        <w:t>6</w:t>
      </w:r>
      <w:r>
        <w:rPr>
          <w:rFonts w:cs="Arial" w:hint="eastAsia"/>
          <w:color w:val="333333"/>
        </w:rPr>
        <w:t>号京城大厦</w:t>
      </w:r>
      <w:r>
        <w:rPr>
          <w:rFonts w:ascii="Arial" w:hAnsi="Arial" w:cs="Arial"/>
          <w:color w:val="333333"/>
        </w:rPr>
        <w:t>2201</w:t>
      </w:r>
      <w:r>
        <w:rPr>
          <w:rFonts w:cs="Arial" w:hint="eastAsia"/>
          <w:color w:val="333333"/>
        </w:rPr>
        <w:t>，邮政编码：</w:t>
      </w:r>
      <w:r>
        <w:rPr>
          <w:rFonts w:ascii="Arial" w:hAnsi="Arial" w:cs="Arial"/>
          <w:color w:val="333333"/>
        </w:rPr>
        <w:t>100004</w:t>
      </w:r>
    </w:p>
    <w:p w:rsidR="00282844" w:rsidRDefault="00282844" w:rsidP="00282844">
      <w:pPr>
        <w:pStyle w:val="a3"/>
        <w:shd w:val="clear" w:color="auto" w:fill="FFFFFF"/>
        <w:spacing w:before="0" w:beforeAutospacing="0" w:after="150" w:afterAutospacing="0" w:line="293" w:lineRule="atLeast"/>
        <w:ind w:left="420" w:firstLine="480"/>
        <w:rPr>
          <w:rFonts w:ascii="Arial" w:hAnsi="Arial" w:cs="Arial"/>
          <w:color w:val="333333"/>
          <w:sz w:val="20"/>
          <w:szCs w:val="20"/>
        </w:rPr>
      </w:pPr>
      <w:r>
        <w:rPr>
          <w:rFonts w:cs="Arial" w:hint="eastAsia"/>
          <w:color w:val="333333"/>
        </w:rPr>
        <w:t>电子邮箱：</w:t>
      </w:r>
      <w:hyperlink r:id="rId4" w:history="1">
        <w:r>
          <w:rPr>
            <w:rStyle w:val="a6"/>
            <w:rFonts w:ascii="Arial" w:hAnsi="Arial" w:cs="Arial"/>
            <w:color w:val="5B9BD1"/>
            <w:u w:val="none"/>
          </w:rPr>
          <w:t>luoxiao@citic.com</w:t>
        </w:r>
      </w:hyperlink>
      <w:r>
        <w:rPr>
          <w:rFonts w:cs="Arial" w:hint="eastAsia"/>
          <w:color w:val="333333"/>
        </w:rPr>
        <w:t>；联系电话：</w:t>
      </w:r>
      <w:r>
        <w:rPr>
          <w:rFonts w:ascii="Arial" w:hAnsi="Arial" w:cs="Arial"/>
          <w:color w:val="333333"/>
        </w:rPr>
        <w:t>010-84861326</w:t>
      </w:r>
      <w:r>
        <w:rPr>
          <w:rFonts w:cs="Arial" w:hint="eastAsia"/>
          <w:color w:val="333333"/>
        </w:rPr>
        <w:t>。</w:t>
      </w:r>
    </w:p>
    <w:p w:rsidR="006B7769" w:rsidRPr="00282844" w:rsidRDefault="00282844"/>
    <w:sectPr w:rsidR="006B7769" w:rsidRPr="00282844" w:rsidSect="00B652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2844"/>
    <w:rsid w:val="00282844"/>
    <w:rsid w:val="003B1113"/>
    <w:rsid w:val="006E30DD"/>
    <w:rsid w:val="00B65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8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2844"/>
    <w:rPr>
      <w:b/>
      <w:bCs/>
    </w:rPr>
  </w:style>
  <w:style w:type="paragraph" w:styleId="a5">
    <w:name w:val="List Paragraph"/>
    <w:basedOn w:val="a"/>
    <w:uiPriority w:val="34"/>
    <w:qFormat/>
    <w:rsid w:val="0028284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82844"/>
    <w:rPr>
      <w:color w:val="0000FF"/>
      <w:u w:val="single"/>
    </w:rPr>
  </w:style>
</w:styles>
</file>

<file path=word/webSettings.xml><?xml version="1.0" encoding="utf-8"?>
<w:webSettings xmlns:r="http://schemas.openxmlformats.org/officeDocument/2006/relationships" xmlns:w="http://schemas.openxmlformats.org/wordprocessingml/2006/main">
  <w:divs>
    <w:div w:id="11318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oxiao@citi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ucc</cp:lastModifiedBy>
  <cp:revision>1</cp:revision>
  <dcterms:created xsi:type="dcterms:W3CDTF">2018-10-17T06:40:00Z</dcterms:created>
  <dcterms:modified xsi:type="dcterms:W3CDTF">2018-10-17T06:40:00Z</dcterms:modified>
</cp:coreProperties>
</file>